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常州市新北区公共卫生康复中心及突发公共卫生事件应急隔离场所建设所需</w:t>
      </w:r>
      <w:r>
        <w:rPr>
          <w:rFonts w:hint="eastAsia" w:ascii="宋体" w:hAnsi="宋体" w:cs="宋体"/>
          <w:bCs/>
          <w:color w:val="000000"/>
          <w:sz w:val="36"/>
          <w:szCs w:val="36"/>
          <w:highlight w:val="none"/>
          <w:lang w:eastAsia="zh-CN"/>
        </w:rPr>
        <w:t xml:space="preserve">胃肠镜采购项目</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JSZC-320411-CTZB-G2025-0291</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常州国家高新技术产业开发区（新北区）卫生健康局</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3"/>
      <w:r/>
      <w:bookmarkStart w:id="3" w:name="_Hlt100754102"/>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常州市新北区公共</w:t>
      </w:r>
      <w:r>
        <w:rPr>
          <w:rFonts w:hint="eastAsia" w:ascii="仿宋" w:hAnsi="仿宋" w:eastAsia="仿宋"/>
          <w:color w:val="000000"/>
          <w:sz w:val="32"/>
          <w:szCs w:val="32"/>
          <w:highlight w:val="none"/>
        </w:rPr>
        <w:t xml:space="preserve">卫生康复中心及突发公共卫生事件应急隔离场所建设所需</w:t>
      </w:r>
      <w:r>
        <w:rPr>
          <w:rFonts w:hint="eastAsia" w:ascii="仿宋" w:hAnsi="仿宋" w:eastAsia="仿宋"/>
          <w:color w:val="000000"/>
          <w:sz w:val="32"/>
          <w:szCs w:val="32"/>
          <w:highlight w:val="none"/>
          <w:lang w:eastAsia="zh-CN"/>
        </w:rPr>
        <w:t xml:space="preserve">胃肠镜采购项目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02"/>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JSZC-320411-CTZB-G2025-0291</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常州市新北区公共卫生康复中心及突发公共卫生事件应急隔离场所建设所需</w:t>
      </w:r>
      <w:r>
        <w:rPr>
          <w:rFonts w:hint="eastAsia" w:ascii="仿宋" w:hAnsi="仿宋" w:eastAsia="仿宋"/>
          <w:color w:val="000000"/>
          <w:sz w:val="32"/>
          <w:szCs w:val="32"/>
          <w:highlight w:val="none"/>
          <w:lang w:eastAsia="zh-CN"/>
        </w:rPr>
        <w:t xml:space="preserve">胃肠镜采购项目</w:t>
      </w:r>
      <w:r>
        <w:rPr>
          <w:rFonts w:hint="eastAsia" w:ascii="仿宋" w:hAnsi="仿宋" w:eastAsia="仿宋"/>
          <w:color w:val="000000"/>
          <w:sz w:val="32"/>
          <w:szCs w:val="32"/>
          <w:highlight w:val="none"/>
          <w:lang w:eastAsia="zh-CN"/>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2</w:t>
      </w:r>
      <w:r>
        <w:rPr>
          <w:rFonts w:hint="eastAsia" w:ascii="仿宋" w:hAnsi="仿宋" w:eastAsia="仿宋"/>
          <w:color w:val="000000"/>
          <w:sz w:val="32"/>
          <w:szCs w:val="32"/>
          <w:highlight w:val="none"/>
          <w:lang w:val="en-US" w:eastAsia="zh-CN"/>
        </w:rPr>
        <w:t xml:space="preserve">20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rPr>
        <w:t xml:space="preserve">2</w:t>
      </w:r>
      <w:r>
        <w:rPr>
          <w:rFonts w:hint="eastAsia" w:ascii="仿宋" w:hAnsi="仿宋" w:eastAsia="仿宋"/>
          <w:color w:val="000000"/>
          <w:sz w:val="32"/>
          <w:szCs w:val="32"/>
          <w:highlight w:val="none"/>
          <w:lang w:val="en-US" w:eastAsia="zh-CN"/>
        </w:rPr>
        <w:t xml:space="preserve">20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胃肠镜</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2</w:t>
            </w:r>
            <w:r>
              <w:rPr>
                <w:rFonts w:hint="eastAsia" w:ascii="仿宋" w:hAnsi="仿宋" w:eastAsia="仿宋"/>
                <w:color w:val="000000"/>
                <w:sz w:val="32"/>
                <w:szCs w:val="32"/>
                <w:highlight w:val="none"/>
                <w:lang w:val="en-US" w:eastAsia="zh-CN"/>
              </w:rPr>
              <w:t xml:space="preserve">20</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合同履行期限：合同签订后30天内完成合同范围内所有设备的供货、安装调试。</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03"/>
      <w:r/>
      <w:bookmarkStart w:id="11" w:name="_Toc28359080"/>
      <w:r/>
      <w:bookmarkStart w:id="12" w:name="_Toc35393622"/>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 </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bookmarkStart w:id="16" w:name="OLE_LINK18"/>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2"/>
        <w:ind w:firstLine="96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2"/>
        <w:ind w:firstLine="96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②投标人为所投产品经销商：具有有效期内的第二类医疗器械经营备案凭证和医疗器械经营许可证；</w:t>
      </w:r>
      <w:r>
        <w:rPr>
          <w:rFonts w:hint="eastAsia"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bookmarkEnd w:id="16"/>
      <w:r/>
      <w:bookmarkStart w:id="17" w:name="OLE_LINK19"/>
      <w:r>
        <w:rPr>
          <w:rFonts w:hint="eastAsia" w:ascii="仿宋" w:hAnsi="仿宋" w:eastAsia="仿宋"/>
          <w:color w:val="000000"/>
          <w:sz w:val="32"/>
          <w:szCs w:val="32"/>
          <w:highlight w:val="none"/>
        </w:rPr>
        <w:t xml:space="preserve">（2）提供所投</w:t>
      </w:r>
      <w:bookmarkStart w:id="18" w:name="OLE_LINK2"/>
      <w:r>
        <w:rPr>
          <w:rFonts w:hint="eastAsia" w:ascii="仿宋" w:hAnsi="仿宋" w:eastAsia="仿宋"/>
          <w:color w:val="000000"/>
          <w:sz w:val="32"/>
          <w:szCs w:val="32"/>
          <w:highlight w:val="none"/>
        </w:rPr>
        <w:t xml:space="preserve">图像处理装置</w:t>
      </w:r>
      <w:bookmarkEnd w:id="18"/>
      <w:r>
        <w:rPr>
          <w:rFonts w:hint="eastAsia" w:ascii="仿宋" w:hAnsi="仿宋" w:eastAsia="仿宋"/>
          <w:color w:val="000000"/>
          <w:sz w:val="32"/>
          <w:szCs w:val="32"/>
          <w:highlight w:val="none"/>
        </w:rPr>
        <w:t xml:space="preserve">、</w:t>
      </w:r>
      <w:bookmarkStart w:id="19" w:name="OLE_LINK3"/>
      <w:r>
        <w:rPr>
          <w:rFonts w:hint="eastAsia" w:ascii="仿宋" w:hAnsi="仿宋" w:eastAsia="仿宋"/>
          <w:color w:val="000000"/>
          <w:sz w:val="32"/>
          <w:szCs w:val="32"/>
          <w:highlight w:val="none"/>
        </w:rPr>
        <w:t xml:space="preserve">内窥镜冷光源</w:t>
      </w:r>
      <w:bookmarkEnd w:id="19"/>
      <w:r>
        <w:rPr>
          <w:rFonts w:hint="eastAsia" w:ascii="仿宋" w:hAnsi="仿宋" w:eastAsia="仿宋"/>
          <w:color w:val="000000"/>
          <w:sz w:val="32"/>
          <w:szCs w:val="32"/>
          <w:highlight w:val="none"/>
        </w:rPr>
        <w:t xml:space="preserve">、电子结肠内窥镜、内镜用送水泵的有效医疗器械注册证；</w:t>
      </w:r>
      <w:r>
        <w:rPr>
          <w:rFonts w:hint="eastAsia"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bookmarkEnd w:id="17"/>
      <w:r>
        <w:rPr>
          <w:rFonts w:hint="eastAsia" w:ascii="仿宋" w:hAnsi="仿宋" w:eastAsia="仿宋"/>
          <w:color w:val="000000"/>
          <w:sz w:val="32"/>
          <w:szCs w:val="32"/>
          <w:highlight w:val="none"/>
        </w:rPr>
        <w:t xml:space="preserve">（3）本项目接受进口产品，如所投产品为进口产品的，投标人应提供以下之一的证明材料：a.此设备的本区域的经销（代理）商，必须提供逐级经销（代理）商的证书</w:t>
      </w:r>
      <w:r>
        <w:rPr>
          <w:rFonts w:hint="eastAsia" w:ascii="仿宋" w:hAnsi="仿宋" w:eastAsia="仿宋"/>
          <w:b/>
          <w:bCs/>
          <w:color w:val="000000"/>
          <w:sz w:val="32"/>
          <w:szCs w:val="32"/>
          <w:highlight w:val="none"/>
        </w:rPr>
        <w:t xml:space="preserve">及有效销售资质</w:t>
      </w:r>
      <w:r>
        <w:rPr>
          <w:rFonts w:hint="eastAsia" w:ascii="仿宋" w:hAnsi="仿宋" w:eastAsia="仿宋"/>
          <w:color w:val="000000"/>
          <w:sz w:val="32"/>
          <w:szCs w:val="32"/>
          <w:highlight w:val="none"/>
        </w:rPr>
        <w:t xml:space="preserve">；b此项目的授权经销商，必须提供本区域经销（代理）商（或生产厂家）对本次采购的项目授权，同时提供逐级经销（代理）商的证书</w:t>
      </w:r>
      <w:r>
        <w:rPr>
          <w:rFonts w:hint="eastAsia" w:ascii="仿宋" w:hAnsi="仿宋" w:eastAsia="仿宋"/>
          <w:b/>
          <w:bCs/>
          <w:color w:val="000000"/>
          <w:sz w:val="32"/>
          <w:szCs w:val="32"/>
          <w:highlight w:val="none"/>
        </w:rPr>
        <w:t xml:space="preserve">及有效销售资</w:t>
      </w:r>
      <w:r>
        <w:rPr>
          <w:rFonts w:hint="eastAsia" w:ascii="仿宋" w:hAnsi="仿宋" w:eastAsia="仿宋"/>
          <w:color w:val="000000"/>
          <w:sz w:val="32"/>
          <w:szCs w:val="32"/>
          <w:highlight w:val="none"/>
        </w:rPr>
        <w:t xml:space="preserve">质（外文授权或代理证书的需提供中文译件）。</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20" w:name="_Toc35393623"/>
      <w:r/>
      <w:bookmarkStart w:id="21" w:name="_Toc35393792"/>
      <w:r>
        <w:rPr>
          <w:rFonts w:ascii="仿宋" w:hAnsi="仿宋" w:eastAsia="仿宋"/>
          <w:color w:val="000000"/>
          <w:sz w:val="32"/>
          <w:szCs w:val="32"/>
          <w:highlight w:val="none"/>
        </w:rPr>
        <w:t xml:space="preserve">三、获取招标文件</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2025年</w:t>
      </w:r>
      <w:r>
        <w:rPr>
          <w:rFonts w:hint="eastAsia" w:ascii="仿宋" w:hAnsi="仿宋" w:eastAsia="仿宋"/>
          <w:color w:val="000000"/>
          <w:sz w:val="32"/>
          <w:szCs w:val="32"/>
          <w:highlight w:val="none"/>
          <w:lang w:val="en-US" w:eastAsia="zh-CN" w:bidi="ar"/>
        </w:rPr>
        <w:t xml:space="preserve">11</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至2025年</w:t>
      </w:r>
      <w:r>
        <w:rPr>
          <w:rFonts w:hint="eastAsia" w:ascii="仿宋" w:hAnsi="仿宋" w:eastAsia="仿宋"/>
          <w:color w:val="000000"/>
          <w:sz w:val="32"/>
          <w:szCs w:val="32"/>
          <w:highlight w:val="none"/>
          <w:lang w:val="en-US" w:eastAsia="zh-CN" w:bidi="ar"/>
        </w:rPr>
        <w:t xml:space="preserve">11</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27</w:t>
      </w:r>
      <w:r>
        <w:rPr>
          <w:rFonts w:hint="eastAsia" w:ascii="仿宋" w:hAnsi="仿宋" w:eastAsia="仿宋" w:cs="宋体"/>
          <w:color w:val="000000"/>
          <w:sz w:val="32"/>
          <w:szCs w:val="32"/>
          <w:highlight w:val="none"/>
        </w:rPr>
        <w:t xml:space="preserve">日（北京时间）</w:t>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22" w:name="_Toc28359005"/>
      <w:r/>
      <w:bookmarkStart w:id="23" w:name="_Toc28359082"/>
      <w:r/>
      <w:bookmarkStart w:id="24" w:name="_Toc35393624"/>
      <w:r/>
      <w:bookmarkStart w:id="25" w:name="_Toc35393793"/>
      <w:r>
        <w:rPr>
          <w:rFonts w:ascii="仿宋" w:hAnsi="仿宋" w:eastAsia="仿宋"/>
          <w:color w:val="000000"/>
          <w:sz w:val="32"/>
          <w:szCs w:val="32"/>
          <w:highlight w:val="none"/>
        </w:rPr>
        <w:t xml:space="preserve">四、提交投标文件</w:t>
      </w:r>
      <w:bookmarkEnd w:id="22"/>
      <w:r/>
      <w:bookmarkEnd w:id="23"/>
      <w:r>
        <w:rPr>
          <w:rFonts w:ascii="仿宋" w:hAnsi="仿宋" w:eastAsia="仿宋"/>
          <w:color w:val="000000"/>
          <w:sz w:val="32"/>
          <w:szCs w:val="32"/>
          <w:highlight w:val="none"/>
        </w:rPr>
        <w:t xml:space="preserve">截止时间、开标时间和地点</w:t>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val="en-US" w:eastAsia="zh-CN" w:bidi="ar"/>
        </w:rPr>
        <w:t xml:space="preserve">202</w:t>
      </w:r>
      <w:r>
        <w:rPr>
          <w:rFonts w:hint="eastAsia" w:ascii="仿宋" w:hAnsi="仿宋" w:eastAsia="仿宋"/>
          <w:color w:val="000000"/>
          <w:sz w:val="32"/>
          <w:szCs w:val="32"/>
          <w:highlight w:val="none"/>
          <w:lang w:val="en-US" w:eastAsia="zh-CN" w:bidi="ar"/>
        </w:rPr>
        <w:t xml:space="preserve">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b/>
          <w:bCs/>
          <w:color w:val="000000"/>
          <w:sz w:val="32"/>
          <w:szCs w:val="32"/>
          <w:highlight w:val="none"/>
          <w:lang w:bidi="ar"/>
        </w:rPr>
        <w:t xml:space="preserve">点</w:t>
      </w:r>
      <w:r>
        <w:rPr>
          <w:rFonts w:hint="eastAsia" w:ascii="仿宋" w:hAnsi="仿宋" w:eastAsia="仿宋"/>
          <w:b/>
          <w:bCs/>
          <w:color w:val="000000"/>
          <w:sz w:val="32"/>
          <w:szCs w:val="32"/>
          <w:highlight w:val="none"/>
          <w:lang w:val="en-US" w:eastAsia="zh-CN" w:bidi="ar"/>
        </w:rPr>
        <w:t xml:space="preserve">00</w:t>
      </w:r>
      <w:r>
        <w:rPr>
          <w:rFonts w:hint="eastAsia" w:ascii="仿宋" w:hAnsi="仿宋" w:eastAsia="仿宋"/>
          <w:b/>
          <w:bCs/>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28359007"/>
      <w:r/>
      <w:bookmarkStart w:id="27" w:name="_Toc28359084"/>
      <w:r/>
      <w:bookmarkStart w:id="28" w:name="_Toc35393794"/>
      <w:r/>
      <w:bookmarkStart w:id="29" w:name="_Toc35393625"/>
      <w:r>
        <w:rPr>
          <w:rFonts w:ascii="仿宋" w:hAnsi="仿宋" w:eastAsia="仿宋"/>
          <w:color w:val="000000"/>
          <w:sz w:val="32"/>
          <w:szCs w:val="32"/>
          <w:highlight w:val="none"/>
        </w:rPr>
        <w:t xml:space="preserve">五、公告期限</w:t>
      </w:r>
      <w:bookmarkEnd w:id="26"/>
      <w:r/>
      <w:bookmarkEnd w:id="27"/>
      <w:r/>
      <w:bookmarkEnd w:id="28"/>
      <w:r/>
      <w:bookmarkEnd w:id="29"/>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30" w:name="_Toc35393795"/>
      <w:r/>
      <w:bookmarkStart w:id="31" w:name="_Toc35393626"/>
      <w:r>
        <w:rPr>
          <w:rFonts w:ascii="仿宋" w:hAnsi="仿宋" w:eastAsia="仿宋"/>
          <w:color w:val="000000"/>
          <w:sz w:val="32"/>
          <w:szCs w:val="32"/>
          <w:highlight w:val="none"/>
        </w:rPr>
        <w:t xml:space="preserve">六、其他补充事宜</w:t>
      </w:r>
      <w:bookmarkEnd w:id="30"/>
      <w:r/>
      <w:bookmarkEnd w:id="31"/>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32" w:name="_Toc28359085"/>
      <w:r/>
      <w:bookmarkStart w:id="33" w:name="_Toc35393627"/>
      <w:r/>
      <w:bookmarkStart w:id="34" w:name="_Toc35393796"/>
      <w:r/>
      <w:bookmarkStart w:id="35" w:name="_Toc28359008"/>
      <w:r>
        <w:rPr>
          <w:rFonts w:ascii="仿宋" w:hAnsi="仿宋" w:eastAsia="仿宋"/>
          <w:color w:val="000000"/>
          <w:sz w:val="32"/>
          <w:szCs w:val="32"/>
          <w:highlight w:val="none"/>
        </w:rPr>
        <w:t xml:space="preserve">七、对本次招标提出询问，请按以下方式联系。</w:t>
      </w:r>
      <w:bookmarkEnd w:id="32"/>
      <w:r/>
      <w:bookmarkEnd w:id="33"/>
      <w:r/>
      <w:bookmarkEnd w:id="34"/>
      <w:r/>
      <w:bookmarkEnd w:id="35"/>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6" w:name="_Toc28359086"/>
      <w:r/>
      <w:bookmarkStart w:id="37" w:name="_Toc28359009"/>
      <w:r>
        <w:rPr>
          <w:rFonts w:hint="eastAsia" w:ascii="仿宋" w:hAnsi="仿宋" w:eastAsia="仿宋"/>
          <w:color w:val="000000"/>
          <w:sz w:val="32"/>
          <w:szCs w:val="32"/>
          <w:highlight w:val="none"/>
        </w:rPr>
        <w:t xml:space="preserve">名    称：常州国家高新技术产业开发区（新北区）卫生健康局 </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w:t>
      </w:r>
      <w:r>
        <w:rPr>
          <w:rFonts w:hint="eastAsia" w:ascii="仿宋" w:hAnsi="仿宋" w:eastAsia="仿宋"/>
          <w:color w:val="000000"/>
          <w:sz w:val="32"/>
          <w:szCs w:val="32"/>
          <w:highlight w:val="none"/>
        </w:rPr>
        <w:t xml:space="preserve">新桥街道崇信路8号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联系方式：孙老师 0519-69888012</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6"/>
      <w:r/>
      <w:bookmarkEnd w:id="37"/>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8" w:name="_Toc28359087"/>
      <w:r/>
      <w:bookmarkStart w:id="39"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8"/>
      <w:r/>
      <w:bookmarkEnd w:id="39"/>
      <w:r>
        <w:rPr>
          <w:rFonts w:hint="eastAsia"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lang w:val="en-US"/>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彭艳、魏海玲</w:t>
      </w:r>
      <w:r>
        <w:rPr>
          <w:rFonts w:ascii="仿宋" w:hAnsi="仿宋" w:eastAsia="仿宋"/>
          <w:color w:val="000000"/>
          <w:sz w:val="32"/>
          <w:szCs w:val="32"/>
          <w:highlight w:val="none"/>
          <w:lang w:val="en-US"/>
        </w:rPr>
      </w:r>
      <w:r/>
    </w:p>
    <w:p>
      <w:pPr>
        <w:pStyle w:val="1072"/>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w:t>
      </w:r>
      <w:r>
        <w:rPr>
          <w:rFonts w:hint="eastAsia" w:ascii="仿宋" w:hAnsi="仿宋" w:eastAsia="仿宋"/>
          <w:color w:val="000000"/>
          <w:sz w:val="32"/>
          <w:szCs w:val="32"/>
          <w:highlight w:val="none"/>
          <w:lang w:val="en-US" w:eastAsia="zh-CN"/>
        </w:rPr>
        <w:t xml:space="preserve">34、6033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0" w:name="_Toc305158928"/>
      <w:r/>
      <w:bookmarkStart w:id="41" w:name="_Toc99301420"/>
      <w:r/>
      <w:bookmarkStart w:id="42" w:name="_Toc127161488"/>
      <w:r/>
      <w:bookmarkStart w:id="43" w:name="_Toc127151777"/>
      <w:r/>
      <w:bookmarkStart w:id="44" w:name="_Toc226965856"/>
      <w:r/>
      <w:bookmarkStart w:id="45" w:name="_Toc264969275"/>
      <w:r/>
      <w:bookmarkStart w:id="46" w:name="_Toc512937850"/>
      <w:r/>
      <w:bookmarkStart w:id="47" w:name="_Toc150774783"/>
      <w:r/>
      <w:bookmarkStart w:id="48" w:name="_Toc305158854"/>
      <w:r/>
      <w:bookmarkStart w:id="49" w:name="_Toc195842950"/>
      <w:r/>
      <w:bookmarkStart w:id="50" w:name="_Toc265228423"/>
      <w:r/>
      <w:bookmarkStart w:id="51" w:name="_Toc353825548"/>
      <w:r/>
      <w:bookmarkStart w:id="52" w:name="_Toc353873938"/>
      <w:r>
        <w:rPr>
          <w:rFonts w:ascii="宋体" w:hAnsi="宋体"/>
          <w:b/>
          <w:color w:val="000000"/>
          <w:sz w:val="36"/>
          <w:szCs w:val="36"/>
          <w:highlight w:val="none"/>
        </w:rPr>
        <w:t xml:space="preserve">第二章   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53" w:name="_Toc164351613"/>
      <w:r/>
      <w:bookmarkStart w:id="54" w:name="_Toc520356144"/>
      <w:r/>
      <w:bookmarkStart w:id="55" w:name="_Toc127151720"/>
      <w:r/>
      <w:bookmarkStart w:id="56" w:name="_Toc226337215"/>
      <w:r/>
      <w:bookmarkStart w:id="57" w:name="_Toc151193907"/>
      <w:r/>
      <w:bookmarkStart w:id="58" w:name="_Toc127151519"/>
      <w:r/>
      <w:bookmarkStart w:id="59" w:name="_Toc150774619"/>
      <w:r/>
      <w:bookmarkStart w:id="60" w:name="_Toc226965792"/>
      <w:r/>
      <w:bookmarkStart w:id="61" w:name="_Toc164608633"/>
      <w:r/>
      <w:bookmarkStart w:id="62" w:name="_Toc226309763"/>
      <w:r/>
      <w:bookmarkStart w:id="63" w:name="_Toc195842884"/>
      <w:r/>
      <w:bookmarkStart w:id="64" w:name="_Toc150480757"/>
      <w:r/>
      <w:bookmarkStart w:id="65" w:name="_Toc151193833"/>
      <w:r/>
      <w:bookmarkStart w:id="66" w:name="_Toc151193689"/>
      <w:r/>
      <w:bookmarkStart w:id="67" w:name="_Toc151193761"/>
      <w:r/>
      <w:bookmarkStart w:id="68" w:name="_Toc150509270"/>
      <w:r/>
      <w:bookmarkStart w:id="69" w:name="_Toc164229360"/>
      <w:r/>
      <w:bookmarkStart w:id="70" w:name="_Toc142311021"/>
      <w:r/>
      <w:bookmarkStart w:id="71" w:name="_Toc127161433"/>
      <w:r/>
      <w:bookmarkStart w:id="72" w:name="_Toc149720812"/>
      <w:r/>
      <w:bookmarkStart w:id="73" w:name="_Toc151193617"/>
      <w:r/>
      <w:bookmarkStart w:id="74" w:name="_Toc164608788"/>
      <w:r/>
      <w:bookmarkStart w:id="75" w:name="_Toc150774724"/>
      <w:r/>
      <w:bookmarkStart w:id="76" w:name="_Toc226965709"/>
      <w:r/>
      <w:bookmarkStart w:id="77" w:name="_Toc151190146"/>
      <w:r/>
      <w:bookmarkStart w:id="78" w:name="_Toc16422921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2"/>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color w:val="000000"/>
                <w:sz w:val="24"/>
                <w:highlight w:val="none"/>
                <w:lang w:val="en-US" w:eastAsia="zh-CN"/>
              </w:rPr>
              <w:t xml:space="preserve">2025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28</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81580192（转分机号6012）；</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ascii="宋体" w:hAnsi="宋体" w:cs="宋体"/>
                <w:b/>
                <w:color w:val="000000"/>
                <w:sz w:val="24"/>
                <w:highlight w:val="none"/>
              </w:rPr>
            </w:pPr>
            <w:r>
              <w:rPr>
                <w:rFonts w:ascii="宋体" w:hAnsi="宋体" w:cs="宋体"/>
                <w:b/>
                <w:color w:val="000000"/>
                <w:sz w:val="24"/>
                <w:highlight w:val="none"/>
              </w:rPr>
              <w:t xml:space="preserve">（一）收费对象：</w:t>
            </w:r>
            <w:r>
              <w:rPr>
                <w:rFonts w:ascii="宋体" w:hAnsi="宋体" w:cs="宋体"/>
                <w:b/>
                <w:color w:val="000000"/>
                <w:sz w:val="24"/>
                <w:highlight w:val="none"/>
              </w:rPr>
            </w:r>
            <w:r/>
          </w:p>
          <w:p>
            <w:pPr>
              <w:pStyle w:val="1072"/>
              <w:jc w:val="left"/>
              <w:rPr>
                <w:rFonts w:ascii="宋体" w:hAnsi="宋体" w:cs="宋体"/>
                <w:color w:val="000000"/>
                <w:sz w:val="24"/>
                <w:highlight w:val="none"/>
              </w:rPr>
            </w:pPr>
            <w:r>
              <w:rPr>
                <w:rFonts w:ascii="宋体" w:hAnsi="宋体" w:cs="宋体"/>
                <w:color w:val="000000"/>
                <w:sz w:val="24"/>
                <w:highlight w:val="none"/>
              </w:rPr>
              <w:t xml:space="preserve">□采购人</w:t>
            </w:r>
            <w:r>
              <w:rPr>
                <w:rFonts w:ascii="宋体" w:hAnsi="宋体" w:cs="宋体"/>
                <w:color w:val="000000"/>
                <w:sz w:val="24"/>
                <w:highlight w:val="none"/>
              </w:rPr>
            </w:r>
            <w:r/>
          </w:p>
          <w:p>
            <w:pPr>
              <w:pStyle w:val="1072"/>
              <w:jc w:val="left"/>
              <w:rPr>
                <w:rFonts w:ascii="宋体" w:hAnsi="宋体" w:cs="宋体"/>
                <w:color w:val="000000"/>
                <w:sz w:val="24"/>
                <w:highlight w:val="none"/>
              </w:rPr>
            </w:pPr>
            <w:r>
              <w:rPr>
                <w:rFonts w:ascii="宋体" w:hAnsi="宋体" w:cs="宋体"/>
                <w:color w:val="000000"/>
                <w:sz w:val="24"/>
                <w:highlight w:val="none"/>
              </w:rPr>
              <w:t xml:space="preserve">■中标人</w:t>
            </w:r>
            <w:r>
              <w:rPr>
                <w:rFonts w:ascii="宋体" w:hAnsi="宋体" w:cs="宋体"/>
                <w:color w:val="000000"/>
                <w:sz w:val="24"/>
                <w:highlight w:val="none"/>
              </w:rPr>
            </w:r>
            <w:r/>
          </w:p>
          <w:p>
            <w:pPr>
              <w:pStyle w:val="1072"/>
              <w:jc w:val="left"/>
              <w:rPr>
                <w:rFonts w:ascii="宋体" w:hAnsi="宋体" w:cs="宋体"/>
                <w:b/>
                <w:color w:val="000000"/>
                <w:sz w:val="24"/>
                <w:highlight w:val="none"/>
              </w:rPr>
            </w:pPr>
            <w:r>
              <w:rPr>
                <w:rFonts w:ascii="宋体" w:hAnsi="宋体" w:cs="宋体"/>
                <w:b/>
                <w:color w:val="000000"/>
                <w:sz w:val="24"/>
                <w:highlight w:val="none"/>
              </w:rPr>
              <w:t xml:space="preserve">（二）收费标准：</w:t>
            </w:r>
            <w:r>
              <w:rPr>
                <w:rFonts w:ascii="宋体" w:hAnsi="宋体" w:cs="宋体"/>
                <w:b/>
                <w:color w:val="000000"/>
                <w:sz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499"/>
              <w:gridCol w:w="2834"/>
            </w:tblGrid>
            <w:tr>
              <w:trPr/>
              <w:tc>
                <w:tcPr>
                  <w:tcW w:w="977"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3499"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中标金额（单位：万元）</w:t>
                  </w:r>
                  <w:r>
                    <w:rPr>
                      <w:rFonts w:ascii="宋体" w:hAnsi="宋体"/>
                      <w:color w:val="000000"/>
                      <w:sz w:val="24"/>
                      <w:highlight w:val="none"/>
                    </w:rPr>
                  </w:r>
                  <w:r/>
                </w:p>
              </w:tc>
              <w:tc>
                <w:tcPr>
                  <w:tcW w:w="2834"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货物类</w:t>
                  </w:r>
                  <w:r>
                    <w:rPr>
                      <w:rFonts w:ascii="宋体" w:hAnsi="宋体"/>
                      <w:color w:val="000000"/>
                      <w:sz w:val="24"/>
                      <w:highlight w:val="none"/>
                    </w:rPr>
                  </w:r>
                  <w:r/>
                </w:p>
              </w:tc>
            </w:tr>
            <w:tr>
              <w:trPr/>
              <w:tc>
                <w:tcPr>
                  <w:tcW w:w="977"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3499"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100 以下</w:t>
                  </w:r>
                  <w:r>
                    <w:rPr>
                      <w:rFonts w:ascii="宋体" w:hAnsi="宋体"/>
                      <w:color w:val="000000"/>
                      <w:sz w:val="24"/>
                      <w:highlight w:val="none"/>
                    </w:rPr>
                  </w:r>
                  <w:r/>
                </w:p>
              </w:tc>
              <w:tc>
                <w:tcPr>
                  <w:tcW w:w="2834"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r>
            <w:tr>
              <w:trPr/>
              <w:tc>
                <w:tcPr>
                  <w:tcW w:w="977"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3499"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100-500</w:t>
                  </w:r>
                  <w:r>
                    <w:rPr>
                      <w:rFonts w:ascii="宋体" w:hAnsi="宋体"/>
                      <w:color w:val="000000"/>
                      <w:sz w:val="24"/>
                      <w:highlight w:val="none"/>
                    </w:rPr>
                  </w:r>
                  <w:r/>
                </w:p>
              </w:tc>
              <w:tc>
                <w:tcPr>
                  <w:tcW w:w="2834"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r>
            <w:tr>
              <w:trPr/>
              <w:tc>
                <w:tcPr>
                  <w:tcW w:w="977"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3499"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500-1000</w:t>
                  </w:r>
                  <w:r>
                    <w:rPr>
                      <w:rFonts w:ascii="宋体" w:hAnsi="宋体"/>
                      <w:color w:val="000000"/>
                      <w:sz w:val="24"/>
                      <w:highlight w:val="none"/>
                    </w:rPr>
                  </w:r>
                  <w:r/>
                </w:p>
              </w:tc>
              <w:tc>
                <w:tcPr>
                  <w:tcW w:w="2834"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0.8%</w:t>
                  </w:r>
                  <w:r>
                    <w:rPr>
                      <w:rFonts w:ascii="宋体" w:hAnsi="宋体"/>
                      <w:color w:val="000000"/>
                      <w:sz w:val="24"/>
                      <w:highlight w:val="none"/>
                    </w:rPr>
                  </w:r>
                  <w:r/>
                </w:p>
              </w:tc>
            </w:tr>
            <w:tr>
              <w:trPr/>
              <w:tc>
                <w:tcPr>
                  <w:tcW w:w="977"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3499"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1000-5000</w:t>
                  </w:r>
                  <w:r>
                    <w:rPr>
                      <w:rFonts w:ascii="宋体" w:hAnsi="宋体"/>
                      <w:color w:val="000000"/>
                      <w:sz w:val="24"/>
                      <w:highlight w:val="none"/>
                    </w:rPr>
                  </w:r>
                  <w:r/>
                </w:p>
              </w:tc>
              <w:tc>
                <w:tcPr>
                  <w:tcW w:w="2834"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0.5%</w:t>
                  </w:r>
                  <w:r>
                    <w:rPr>
                      <w:rFonts w:ascii="宋体" w:hAnsi="宋体"/>
                      <w:color w:val="000000"/>
                      <w:sz w:val="24"/>
                      <w:highlight w:val="none"/>
                    </w:rPr>
                  </w:r>
                  <w:r/>
                </w:p>
              </w:tc>
            </w:tr>
            <w:tr>
              <w:trPr/>
              <w:tc>
                <w:tcPr>
                  <w:tcW w:w="977"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3499"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5000-10000</w:t>
                  </w:r>
                  <w:r>
                    <w:rPr>
                      <w:rFonts w:ascii="宋体" w:hAnsi="宋体"/>
                      <w:color w:val="000000"/>
                      <w:sz w:val="24"/>
                      <w:highlight w:val="none"/>
                    </w:rPr>
                  </w:r>
                  <w:r/>
                </w:p>
              </w:tc>
              <w:tc>
                <w:tcPr>
                  <w:tcW w:w="2834"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0.25%</w:t>
                  </w:r>
                  <w:r>
                    <w:rPr>
                      <w:rFonts w:ascii="宋体" w:hAnsi="宋体"/>
                      <w:color w:val="000000"/>
                      <w:sz w:val="24"/>
                      <w:highlight w:val="none"/>
                    </w:rPr>
                  </w:r>
                  <w:r/>
                </w:p>
              </w:tc>
            </w:tr>
            <w:tr>
              <w:trPr/>
              <w:tc>
                <w:tcPr>
                  <w:tcW w:w="977"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3499"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按上述计算方法不足2000元</w:t>
                  </w:r>
                  <w:r>
                    <w:rPr>
                      <w:rFonts w:ascii="宋体" w:hAnsi="宋体"/>
                      <w:color w:val="000000"/>
                      <w:sz w:val="24"/>
                      <w:highlight w:val="none"/>
                    </w:rPr>
                  </w:r>
                  <w:r/>
                </w:p>
              </w:tc>
              <w:tc>
                <w:tcPr>
                  <w:tcW w:w="2834" w:type="dxa"/>
                  <w:vAlign w:val="center"/>
                  <w:textDirection w:val="lrTb"/>
                  <w:noWrap w:val="false"/>
                </w:tcPr>
                <w:p>
                  <w:pPr>
                    <w:pStyle w:val="1072"/>
                    <w:jc w:val="center"/>
                    <w:spacing w:line="360" w:lineRule="auto"/>
                    <w:rPr>
                      <w:rFonts w:ascii="宋体" w:hAnsi="宋体"/>
                      <w:color w:val="000000"/>
                      <w:sz w:val="24"/>
                      <w:highlight w:val="none"/>
                    </w:rPr>
                  </w:pPr>
                  <w:r>
                    <w:rPr>
                      <w:rFonts w:ascii="宋体" w:hAnsi="宋体"/>
                      <w:color w:val="000000"/>
                      <w:sz w:val="24"/>
                      <w:highlight w:val="none"/>
                    </w:rPr>
                    <w:t xml:space="preserve">固定值：2000元（不打折）</w:t>
                  </w:r>
                  <w:r>
                    <w:rPr>
                      <w:rFonts w:ascii="宋体" w:hAnsi="宋体"/>
                      <w:color w:val="000000"/>
                      <w:sz w:val="24"/>
                      <w:highlight w:val="none"/>
                    </w:rPr>
                  </w:r>
                  <w:r/>
                </w:p>
              </w:tc>
            </w:tr>
          </w:tbl>
          <w:p>
            <w:pPr>
              <w:pStyle w:val="1072"/>
              <w:jc w:val="left"/>
              <w:rPr>
                <w:rFonts w:ascii="宋体" w:hAnsi="宋体" w:cs="宋体"/>
                <w:b/>
                <w:color w:val="000000"/>
                <w:sz w:val="24"/>
                <w:highlight w:val="none"/>
              </w:rPr>
            </w:pPr>
            <w:r>
              <w:rPr>
                <w:rFonts w:ascii="宋体" w:hAnsi="宋体"/>
                <w:color w:val="000000"/>
                <w:sz w:val="24"/>
                <w:highlight w:val="none"/>
              </w:rPr>
              <w:t xml:space="preserve">注：代理服务费按上述表格标准的</w:t>
            </w:r>
            <w:r>
              <w:rPr>
                <w:rFonts w:ascii="宋体" w:hAnsi="宋体"/>
                <w:b/>
                <w:bCs/>
                <w:color w:val="000000"/>
                <w:sz w:val="24"/>
                <w:highlight w:val="none"/>
                <w:u w:val="single"/>
              </w:rPr>
              <w:t xml:space="preserve">60%</w:t>
            </w:r>
            <w:r>
              <w:rPr>
                <w:rFonts w:ascii="宋体" w:hAnsi="宋体"/>
                <w:color w:val="000000"/>
                <w:sz w:val="24"/>
                <w:highlight w:val="none"/>
              </w:rPr>
              <w:t xml:space="preserve">收取</w:t>
            </w:r>
            <w:r>
              <w:rPr>
                <w:rFonts w:ascii="宋体" w:hAnsi="宋体"/>
                <w:b/>
                <w:bCs/>
                <w:color w:val="000000"/>
                <w:sz w:val="24"/>
                <w:highlight w:val="none"/>
              </w:rPr>
              <w:t xml:space="preserve">。</w:t>
            </w:r>
            <w:r>
              <w:rPr>
                <w:rFonts w:ascii="宋体" w:hAnsi="宋体" w:cs="宋体"/>
                <w:b/>
                <w:color w:val="000000"/>
                <w:sz w:val="24"/>
                <w:highlight w:val="none"/>
              </w:rPr>
            </w:r>
            <w:r/>
          </w:p>
          <w:p>
            <w:pPr>
              <w:pStyle w:val="1072"/>
              <w:jc w:val="left"/>
              <w:rPr>
                <w:rFonts w:ascii="宋体" w:hAnsi="宋体" w:cs="宋体"/>
                <w:color w:val="000000"/>
                <w:sz w:val="24"/>
                <w:highlight w:val="none"/>
              </w:rPr>
            </w:pPr>
            <w:r>
              <w:rPr>
                <w:rFonts w:ascii="宋体" w:hAnsi="宋体" w:cs="宋体"/>
                <w:b/>
                <w:color w:val="000000"/>
                <w:sz w:val="24"/>
                <w:highlight w:val="none"/>
              </w:rPr>
              <w:t xml:space="preserve">（三）缴纳时间：</w:t>
            </w:r>
            <w:r>
              <w:rPr>
                <w:rFonts w:ascii="宋体" w:hAnsi="宋体" w:cs="宋体"/>
                <w:color w:val="000000"/>
                <w:sz w:val="24"/>
                <w:highlight w:val="none"/>
              </w:rPr>
              <w:t xml:space="preserve">中标人应在领取中标通知书时将代理费支付至常州市城投建设工程招标有限公司账户。</w:t>
            </w:r>
            <w:r>
              <w:rPr>
                <w:rFonts w:ascii="宋体" w:hAnsi="宋体" w:cs="宋体"/>
                <w:color w:val="000000"/>
                <w:sz w:val="24"/>
                <w:highlight w:val="none"/>
              </w:rPr>
            </w:r>
            <w:r/>
          </w:p>
          <w:p>
            <w:pPr>
              <w:pStyle w:val="1072"/>
              <w:ind w:firstLine="472"/>
              <w:jc w:val="left"/>
              <w:rPr>
                <w:rFonts w:ascii="宋体" w:hAnsi="宋体" w:cs="宋体"/>
                <w:color w:val="000000"/>
                <w:sz w:val="24"/>
                <w:highlight w:val="none"/>
              </w:rPr>
            </w:pPr>
            <w:r>
              <w:rPr>
                <w:rFonts w:ascii="宋体" w:hAnsi="宋体" w:cs="宋体"/>
                <w:color w:val="000000"/>
                <w:sz w:val="24"/>
                <w:highlight w:val="none"/>
              </w:rPr>
              <w:t xml:space="preserve">收款单位：常州市城投建设工程招标有限公司</w:t>
            </w:r>
            <w:r>
              <w:rPr>
                <w:rFonts w:ascii="宋体" w:hAnsi="宋体" w:cs="宋体"/>
                <w:color w:val="000000"/>
                <w:sz w:val="24"/>
                <w:highlight w:val="none"/>
              </w:rPr>
            </w:r>
            <w:r/>
          </w:p>
          <w:p>
            <w:pPr>
              <w:pStyle w:val="1072"/>
              <w:ind w:firstLine="472"/>
              <w:jc w:val="left"/>
              <w:rPr>
                <w:rFonts w:ascii="宋体" w:hAnsi="宋体" w:cs="宋体"/>
                <w:color w:val="000000"/>
                <w:sz w:val="24"/>
                <w:highlight w:val="none"/>
              </w:rPr>
            </w:pPr>
            <w:r>
              <w:rPr>
                <w:rFonts w:ascii="宋体" w:hAnsi="宋体" w:cs="宋体"/>
                <w:color w:val="000000"/>
                <w:sz w:val="24"/>
                <w:highlight w:val="none"/>
              </w:rPr>
              <w:t xml:space="preserve">开户银行：中国建设银行常州大成苑支行</w:t>
            </w:r>
            <w:r>
              <w:rPr>
                <w:rFonts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28</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9" w:name="_Toc150774722"/>
      <w:r/>
      <w:bookmarkStart w:id="80" w:name="_Toc353825542"/>
      <w:r/>
      <w:bookmarkStart w:id="81" w:name="_Toc264969207"/>
      <w:r/>
      <w:bookmarkStart w:id="82" w:name="_Toc353873662"/>
      <w:r/>
      <w:bookmarkStart w:id="83" w:name="_Toc142311019"/>
      <w:r/>
      <w:bookmarkStart w:id="84" w:name="_Toc226965790"/>
      <w:r/>
      <w:bookmarkStart w:id="85" w:name="_Toc226337213"/>
      <w:r/>
      <w:bookmarkStart w:id="86" w:name="_Toc305158785"/>
      <w:r/>
      <w:bookmarkStart w:id="87" w:name="_Toc265228355"/>
      <w:r/>
      <w:bookmarkStart w:id="88" w:name="_Toc150480755"/>
      <w:r/>
      <w:bookmarkStart w:id="89" w:name="_Toc353873932"/>
      <w:r/>
      <w:bookmarkStart w:id="90" w:name="_Toc127151517"/>
      <w:r/>
      <w:bookmarkStart w:id="91" w:name="_Toc305158859"/>
      <w:r/>
      <w:bookmarkStart w:id="92" w:name="_Toc195842882"/>
      <w:r>
        <w:rPr>
          <w:rFonts w:hint="eastAsia" w:ascii="宋体" w:hAnsi="宋体" w:cs="宋体"/>
          <w:b/>
          <w:color w:val="000000"/>
          <w:sz w:val="28"/>
          <w:szCs w:val="28"/>
          <w:highlight w:val="none"/>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3" w:name="_Toc520356143"/>
      <w:r/>
      <w:bookmarkStart w:id="94" w:name="_Toc127151518"/>
      <w:r>
        <w:rPr>
          <w:rFonts w:hint="eastAsia" w:ascii="宋体" w:hAnsi="宋体" w:eastAsia="宋体" w:cs="宋体"/>
          <w:color w:val="000000"/>
          <w:sz w:val="28"/>
          <w:highlight w:val="none"/>
        </w:rPr>
        <w:tab/>
      </w:r>
      <w:bookmarkStart w:id="95" w:name="_Toc305158786"/>
      <w:r/>
      <w:bookmarkStart w:id="96" w:name="_Toc150774723"/>
      <w:r/>
      <w:bookmarkStart w:id="97" w:name="_Toc142311020"/>
      <w:r/>
      <w:bookmarkStart w:id="98" w:name="_Toc151190145"/>
      <w:r/>
      <w:bookmarkStart w:id="99" w:name="_Toc150774618"/>
      <w:r/>
      <w:bookmarkStart w:id="100" w:name="_Toc151193906"/>
      <w:r/>
      <w:bookmarkStart w:id="101" w:name="_Toc305158860"/>
      <w:r/>
      <w:bookmarkStart w:id="102" w:name="_Toc150509269"/>
      <w:r/>
      <w:bookmarkStart w:id="103" w:name="_Toc226309762"/>
      <w:r/>
      <w:bookmarkStart w:id="104" w:name="_Toc151193760"/>
      <w:r/>
      <w:bookmarkStart w:id="105" w:name="_Toc151193832"/>
      <w:r/>
      <w:bookmarkStart w:id="106" w:name="_Toc151193616"/>
      <w:r/>
      <w:bookmarkStart w:id="107" w:name="_Toc226337214"/>
      <w:r/>
      <w:bookmarkStart w:id="108" w:name="_Toc265228356"/>
      <w:r/>
      <w:bookmarkStart w:id="109" w:name="_Toc226965708"/>
      <w:r/>
      <w:bookmarkStart w:id="110" w:name="_Toc264969208"/>
      <w:r/>
      <w:bookmarkStart w:id="111" w:name="_Toc150480756"/>
      <w:r/>
      <w:bookmarkStart w:id="112" w:name="_Toc151193688"/>
      <w:r/>
      <w:bookmarkStart w:id="113" w:name="_Toc226965791"/>
      <w:r/>
      <w:bookmarkStart w:id="114" w:name="_Toc195842883"/>
      <w:r>
        <w:rPr>
          <w:rFonts w:hint="eastAsia" w:ascii="宋体" w:hAnsi="宋体" w:eastAsia="宋体" w:cs="宋体"/>
          <w:color w:val="000000"/>
          <w:sz w:val="28"/>
          <w:highlight w:val="none"/>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305158861"/>
      <w:r/>
      <w:bookmarkStart w:id="116" w:name="_Toc305158787"/>
      <w:r/>
      <w:bookmarkStart w:id="117" w:name="_Toc264969209"/>
      <w:r/>
      <w:bookmarkStart w:id="118" w:name="_Toc265228357"/>
      <w:r>
        <w:rPr>
          <w:rFonts w:hint="eastAsia" w:ascii="宋体" w:hAnsi="宋体" w:cs="宋体"/>
          <w:b/>
          <w:color w:val="000000"/>
          <w:sz w:val="24"/>
          <w:highlight w:val="none"/>
        </w:rPr>
        <w:t xml:space="preserve">采购人、采购代理机构、投标人</w:t>
      </w:r>
      <w:bookmarkEnd w:id="115"/>
      <w:r/>
      <w:bookmarkEnd w:id="116"/>
      <w:r/>
      <w:bookmarkEnd w:id="117"/>
      <w:r/>
      <w:bookmarkEnd w:id="118"/>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9" w:name="_Toc127161434"/>
      <w:r/>
      <w:bookmarkStart w:id="120" w:name="_Toc127151721"/>
      <w:r/>
      <w:bookmarkStart w:id="121" w:name="_Toc164229215"/>
      <w:r/>
      <w:bookmarkStart w:id="122" w:name="_Toc150774725"/>
      <w:r/>
      <w:bookmarkStart w:id="123" w:name="_Toc164608789"/>
      <w:r/>
      <w:bookmarkStart w:id="124" w:name="_Toc195842885"/>
      <w:r/>
      <w:bookmarkStart w:id="125" w:name="_Toc164351614"/>
      <w:r/>
      <w:bookmarkStart w:id="126" w:name="_Toc151193762"/>
      <w:r/>
      <w:bookmarkStart w:id="127" w:name="_Toc150509271"/>
      <w:r/>
      <w:bookmarkStart w:id="128" w:name="_Toc151193834"/>
      <w:r/>
      <w:bookmarkStart w:id="129" w:name="_Toc226965793"/>
      <w:r/>
      <w:bookmarkStart w:id="130" w:name="_Toc151193908"/>
      <w:r/>
      <w:bookmarkStart w:id="131" w:name="_Toc164229361"/>
      <w:r/>
      <w:bookmarkStart w:id="132" w:name="_Toc150480758"/>
      <w:r/>
      <w:bookmarkStart w:id="133" w:name="_Toc142311022"/>
      <w:r/>
      <w:bookmarkStart w:id="134" w:name="_Toc264969210"/>
      <w:r/>
      <w:bookmarkStart w:id="135" w:name="_Toc151193690"/>
      <w:r/>
      <w:bookmarkStart w:id="136" w:name="_Toc305158862"/>
      <w:r/>
      <w:bookmarkStart w:id="137" w:name="_Toc151193618"/>
      <w:r/>
      <w:bookmarkStart w:id="138" w:name="_Toc226337216"/>
      <w:r/>
      <w:bookmarkStart w:id="139" w:name="_Toc149720813"/>
      <w:r/>
      <w:bookmarkStart w:id="140" w:name="_Toc164608634"/>
      <w:r/>
      <w:bookmarkStart w:id="141" w:name="_Toc226965710"/>
      <w:r/>
      <w:bookmarkStart w:id="142" w:name="_Toc127151520"/>
      <w:r/>
      <w:bookmarkStart w:id="143" w:name="_Toc150774620"/>
      <w:r/>
      <w:bookmarkStart w:id="144" w:name="_Toc151190147"/>
      <w:r/>
      <w:bookmarkStart w:id="145" w:name="_Toc265228358"/>
      <w:r/>
      <w:bookmarkStart w:id="146" w:name="_Toc226309764"/>
      <w:r/>
      <w:bookmarkStart w:id="147" w:name="_Toc305158788"/>
      <w:r>
        <w:rPr>
          <w:rFonts w:hint="eastAsia" w:ascii="宋体" w:hAnsi="宋体" w:cs="宋体"/>
          <w:b/>
          <w:color w:val="000000"/>
          <w:sz w:val="24"/>
          <w:highlight w:val="none"/>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8" w:name="_Toc150774727"/>
      <w:r/>
      <w:bookmarkStart w:id="149" w:name="_Toc150509273"/>
      <w:r/>
      <w:bookmarkStart w:id="150" w:name="_Toc226965712"/>
      <w:r/>
      <w:bookmarkStart w:id="151" w:name="_Toc305158790"/>
      <w:r/>
      <w:bookmarkStart w:id="152" w:name="_Toc151190149"/>
      <w:r/>
      <w:bookmarkStart w:id="153" w:name="_Toc150774622"/>
      <w:r/>
      <w:bookmarkStart w:id="154" w:name="_Toc520356146"/>
      <w:r/>
      <w:bookmarkStart w:id="155" w:name="_Toc150480760"/>
      <w:r/>
      <w:bookmarkStart w:id="156" w:name="_Toc226965795"/>
      <w:r/>
      <w:bookmarkStart w:id="157" w:name="_Toc264969212"/>
      <w:r/>
      <w:bookmarkStart w:id="158" w:name="_Toc151193910"/>
      <w:r/>
      <w:bookmarkStart w:id="159" w:name="_Toc151193620"/>
      <w:r/>
      <w:bookmarkStart w:id="160" w:name="_Toc195842887"/>
      <w:r/>
      <w:bookmarkStart w:id="161" w:name="_Toc151193764"/>
      <w:r/>
      <w:bookmarkStart w:id="162" w:name="_Toc265228360"/>
      <w:r/>
      <w:bookmarkStart w:id="163" w:name="_Toc305158864"/>
      <w:r/>
      <w:bookmarkStart w:id="164" w:name="_Toc151193692"/>
      <w:r/>
      <w:bookmarkStart w:id="165" w:name="_Toc127151522"/>
      <w:r/>
      <w:bookmarkStart w:id="166" w:name="_Toc151193836"/>
      <w:r/>
      <w:bookmarkStart w:id="167" w:name="_Toc226337218"/>
      <w:r/>
      <w:bookmarkStart w:id="168" w:name="_Toc142311024"/>
      <w:r/>
      <w:bookmarkStart w:id="169" w:name="_Toc226309766"/>
      <w:r>
        <w:rPr>
          <w:rFonts w:hint="eastAsia" w:ascii="宋体" w:hAnsi="宋体" w:cs="宋体"/>
          <w:color w:val="000000"/>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70" w:name="_1.8_计量单位"/>
      <w:r/>
      <w:bookmarkEnd w:id="170"/>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71" w:name="_Toc520356147"/>
      <w:r/>
      <w:bookmarkStart w:id="172" w:name="_Toc265228361"/>
      <w:r/>
      <w:bookmarkStart w:id="173" w:name="_Toc164229218"/>
      <w:r/>
      <w:bookmarkStart w:id="174" w:name="_Toc164229364"/>
      <w:r/>
      <w:bookmarkStart w:id="175" w:name="_Toc151190150"/>
      <w:r/>
      <w:bookmarkStart w:id="176" w:name="_Toc195842888"/>
      <w:r/>
      <w:bookmarkStart w:id="177" w:name="_Toc151193765"/>
      <w:r/>
      <w:bookmarkStart w:id="178" w:name="_Toc164608637"/>
      <w:r/>
      <w:bookmarkStart w:id="179" w:name="_Toc150774728"/>
      <w:r/>
      <w:bookmarkStart w:id="180" w:name="_Toc305158865"/>
      <w:r/>
      <w:bookmarkStart w:id="181" w:name="_Toc127151724"/>
      <w:r/>
      <w:bookmarkStart w:id="182" w:name="_Toc226965713"/>
      <w:r/>
      <w:bookmarkStart w:id="183" w:name="_Toc226337219"/>
      <w:r/>
      <w:bookmarkStart w:id="184" w:name="_Toc151193693"/>
      <w:r/>
      <w:bookmarkStart w:id="185" w:name="_Toc226309767"/>
      <w:r/>
      <w:bookmarkStart w:id="186" w:name="_Toc151193837"/>
      <w:r/>
      <w:bookmarkStart w:id="187" w:name="_Toc127161437"/>
      <w:r/>
      <w:bookmarkStart w:id="188" w:name="_Toc305158791"/>
      <w:r/>
      <w:bookmarkStart w:id="189" w:name="_Toc142311025"/>
      <w:r/>
      <w:bookmarkStart w:id="190" w:name="_Toc149720816"/>
      <w:r/>
      <w:bookmarkStart w:id="191" w:name="_Toc164351617"/>
      <w:r/>
      <w:bookmarkStart w:id="192" w:name="_Toc164608792"/>
      <w:r/>
      <w:bookmarkStart w:id="193" w:name="_Toc150774623"/>
      <w:r/>
      <w:bookmarkStart w:id="194" w:name="_Toc150480761"/>
      <w:r/>
      <w:bookmarkStart w:id="195" w:name="_Toc226965796"/>
      <w:r/>
      <w:bookmarkStart w:id="196" w:name="_Toc264969213"/>
      <w:r/>
      <w:bookmarkStart w:id="197" w:name="_Toc151193911"/>
      <w:r/>
      <w:bookmarkStart w:id="198" w:name="_Toc151193621"/>
      <w:r/>
      <w:bookmarkStart w:id="199" w:name="_Toc127151523"/>
      <w:r/>
      <w:bookmarkStart w:id="200" w:name="_Toc150509274"/>
      <w:r>
        <w:rPr>
          <w:rFonts w:hint="eastAsia" w:ascii="宋体" w:hAnsi="宋体" w:cs="宋体"/>
          <w:b/>
          <w:color w:val="000000"/>
          <w:sz w:val="24"/>
          <w:highlight w:val="none"/>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201" w:name="_Toc305158794"/>
      <w:r/>
      <w:bookmarkStart w:id="202" w:name="_Toc142311028"/>
      <w:r/>
      <w:bookmarkStart w:id="203" w:name="_Toc151190153"/>
      <w:r/>
      <w:bookmarkStart w:id="204" w:name="_Toc226337222"/>
      <w:r/>
      <w:bookmarkStart w:id="205" w:name="_Toc265228364"/>
      <w:r/>
      <w:bookmarkStart w:id="206" w:name="_Toc127151526"/>
      <w:r/>
      <w:bookmarkStart w:id="207" w:name="_Toc195842891"/>
      <w:r/>
      <w:bookmarkStart w:id="208" w:name="_Toc264969216"/>
      <w:r/>
      <w:bookmarkStart w:id="209" w:name="_Toc226965799"/>
      <w:r/>
      <w:bookmarkStart w:id="210" w:name="_Toc151193914"/>
      <w:r/>
      <w:bookmarkStart w:id="211" w:name="_Toc150480764"/>
      <w:r/>
      <w:bookmarkStart w:id="212" w:name="_Toc226309770"/>
      <w:r/>
      <w:bookmarkStart w:id="213" w:name="_Toc151193624"/>
      <w:r/>
      <w:bookmarkStart w:id="214" w:name="_Toc516367020"/>
      <w:r/>
      <w:bookmarkStart w:id="215" w:name="_Toc150509277"/>
      <w:r/>
      <w:bookmarkStart w:id="216" w:name="_Toc151193840"/>
      <w:r/>
      <w:bookmarkStart w:id="217" w:name="_Toc151193696"/>
      <w:r/>
      <w:bookmarkStart w:id="218" w:name="_Toc520356150"/>
      <w:r/>
      <w:bookmarkStart w:id="219" w:name="_Toc151193768"/>
      <w:r/>
      <w:bookmarkStart w:id="220" w:name="_Toc150774626"/>
      <w:r/>
      <w:bookmarkStart w:id="221" w:name="_Toc305158868"/>
      <w:r/>
      <w:bookmarkStart w:id="222" w:name="_Toc226965716"/>
      <w:r/>
      <w:bookmarkStart w:id="223" w:name="_Toc150774731"/>
      <w:r>
        <w:rPr>
          <w:rFonts w:hint="eastAsia" w:ascii="宋体" w:hAnsi="宋体" w:eastAsia="宋体" w:cs="宋体"/>
          <w:color w:val="000000"/>
          <w:sz w:val="28"/>
          <w:highlight w:val="none"/>
        </w:rPr>
        <w:t xml:space="preserve">三   投标文件</w:t>
      </w:r>
      <w:bookmarkEnd w:id="214"/>
      <w:r>
        <w:rPr>
          <w:rFonts w:hint="eastAsia" w:ascii="宋体" w:hAnsi="宋体" w:eastAsia="宋体" w:cs="宋体"/>
          <w:color w:val="000000"/>
          <w:sz w:val="28"/>
          <w:highlight w:val="none"/>
        </w:rPr>
        <w:t xml:space="preserve">的编制</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4" w:name="_Toc520356151"/>
      <w:r/>
      <w:bookmarkStart w:id="225" w:name="_Toc226309771"/>
      <w:r/>
      <w:bookmarkStart w:id="226" w:name="_Toc164229222"/>
      <w:r/>
      <w:bookmarkStart w:id="227" w:name="_Toc226337223"/>
      <w:r/>
      <w:bookmarkStart w:id="228" w:name="_Toc226965717"/>
      <w:r/>
      <w:bookmarkStart w:id="229" w:name="_Toc151193769"/>
      <w:r/>
      <w:bookmarkStart w:id="230" w:name="_Toc150774627"/>
      <w:r/>
      <w:bookmarkStart w:id="231" w:name="_Toc127151728"/>
      <w:r/>
      <w:bookmarkStart w:id="232" w:name="_Toc164608796"/>
      <w:r/>
      <w:bookmarkStart w:id="233" w:name="_Toc151193697"/>
      <w:r/>
      <w:bookmarkStart w:id="234" w:name="_Toc150509278"/>
      <w:r/>
      <w:bookmarkStart w:id="235" w:name="_Toc127161441"/>
      <w:r/>
      <w:bookmarkStart w:id="236" w:name="_Toc305158869"/>
      <w:r/>
      <w:bookmarkStart w:id="237" w:name="_Toc164351621"/>
      <w:r/>
      <w:bookmarkStart w:id="238" w:name="_Toc305158795"/>
      <w:r/>
      <w:bookmarkStart w:id="239" w:name="_Toc149720820"/>
      <w:r/>
      <w:bookmarkStart w:id="240" w:name="_Toc151193625"/>
      <w:r/>
      <w:bookmarkStart w:id="241" w:name="_Toc226965800"/>
      <w:r/>
      <w:bookmarkStart w:id="242" w:name="_Toc127151527"/>
      <w:r/>
      <w:bookmarkStart w:id="243" w:name="_Toc195842892"/>
      <w:r/>
      <w:bookmarkStart w:id="244" w:name="_Toc151190154"/>
      <w:r/>
      <w:bookmarkStart w:id="245" w:name="_Toc150774732"/>
      <w:r/>
      <w:bookmarkStart w:id="246" w:name="_Toc151193841"/>
      <w:r/>
      <w:bookmarkStart w:id="247" w:name="_Toc516367021"/>
      <w:r/>
      <w:bookmarkStart w:id="248" w:name="_Toc265228365"/>
      <w:r/>
      <w:bookmarkStart w:id="249" w:name="_Toc150480765"/>
      <w:r/>
      <w:bookmarkStart w:id="250" w:name="_Toc142311029"/>
      <w:r/>
      <w:bookmarkStart w:id="251" w:name="_Toc264969217"/>
      <w:r/>
      <w:bookmarkStart w:id="252" w:name="_Toc164608641"/>
      <w:r/>
      <w:bookmarkStart w:id="253" w:name="_Toc164229368"/>
      <w:r/>
      <w:bookmarkStart w:id="254" w:name="_Toc151193915"/>
      <w:r>
        <w:rPr>
          <w:rFonts w:hint="eastAsia" w:ascii="宋体" w:hAnsi="宋体" w:cs="宋体"/>
          <w:b/>
          <w:color w:val="000000"/>
          <w:sz w:val="24"/>
          <w:highlight w:val="none"/>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5" w:name="_Toc305158796"/>
      <w:r/>
      <w:bookmarkStart w:id="256" w:name="_Toc164608642"/>
      <w:r/>
      <w:bookmarkStart w:id="257" w:name="_Toc150509279"/>
      <w:r/>
      <w:bookmarkStart w:id="258" w:name="_Toc151193698"/>
      <w:r/>
      <w:bookmarkStart w:id="259" w:name="_Toc195842893"/>
      <w:r/>
      <w:bookmarkStart w:id="260" w:name="_Toc265228366"/>
      <w:r/>
      <w:bookmarkStart w:id="261" w:name="_Toc150774733"/>
      <w:r/>
      <w:bookmarkStart w:id="262" w:name="_Ref467306676"/>
      <w:r/>
      <w:bookmarkStart w:id="263" w:name="_Ref467306195"/>
      <w:r/>
      <w:bookmarkStart w:id="264" w:name="_Toc516367022"/>
      <w:r/>
      <w:bookmarkStart w:id="265" w:name="_Toc150480766"/>
      <w:r/>
      <w:bookmarkStart w:id="266" w:name="_Toc305158870"/>
      <w:r/>
      <w:bookmarkStart w:id="267" w:name="_Toc142311030"/>
      <w:r/>
      <w:bookmarkStart w:id="268" w:name="_Toc226965801"/>
      <w:r/>
      <w:bookmarkStart w:id="269" w:name="_Toc226965718"/>
      <w:r/>
      <w:bookmarkStart w:id="270" w:name="_Toc264969218"/>
      <w:r/>
      <w:bookmarkStart w:id="271" w:name="_Toc151193842"/>
      <w:r/>
      <w:bookmarkStart w:id="272" w:name="_Toc151193626"/>
      <w:r/>
      <w:bookmarkStart w:id="273" w:name="_Toc151193770"/>
      <w:r/>
      <w:bookmarkStart w:id="274" w:name="_Toc164229223"/>
      <w:r/>
      <w:bookmarkStart w:id="275" w:name="_Toc149720821"/>
      <w:r/>
      <w:bookmarkStart w:id="276" w:name="_Toc520356152"/>
      <w:r/>
      <w:bookmarkStart w:id="277" w:name="_Toc150774628"/>
      <w:r/>
      <w:bookmarkStart w:id="278" w:name="_Toc151190155"/>
      <w:r/>
      <w:bookmarkStart w:id="279" w:name="_Toc226309772"/>
      <w:r/>
      <w:bookmarkStart w:id="280" w:name="_Toc151193916"/>
      <w:r/>
      <w:bookmarkStart w:id="281" w:name="_Toc127161442"/>
      <w:r/>
      <w:bookmarkStart w:id="282" w:name="_Toc164351622"/>
      <w:r/>
      <w:bookmarkStart w:id="283" w:name="_Toc164229369"/>
      <w:r/>
      <w:bookmarkStart w:id="284" w:name="_Toc164608797"/>
      <w:r/>
      <w:bookmarkStart w:id="285" w:name="_Toc127151729"/>
      <w:r/>
      <w:bookmarkStart w:id="286" w:name="_Toc127151528"/>
      <w:r/>
      <w:bookmarkStart w:id="287" w:name="_Toc226337224"/>
      <w:r>
        <w:rPr>
          <w:rFonts w:hint="eastAsia" w:ascii="宋体" w:hAnsi="宋体" w:cs="宋体"/>
          <w:b/>
          <w:color w:val="000000"/>
          <w:sz w:val="24"/>
          <w:highlight w:val="none"/>
        </w:rPr>
        <w:t xml:space="preserve">投标文件</w:t>
      </w:r>
      <w:bookmarkEnd w:id="262"/>
      <w:r/>
      <w:bookmarkEnd w:id="263"/>
      <w:r/>
      <w:bookmarkEnd w:id="264"/>
      <w:r>
        <w:rPr>
          <w:rFonts w:hint="eastAsia" w:ascii="宋体" w:hAnsi="宋体" w:cs="宋体"/>
          <w:b/>
          <w:color w:val="000000"/>
          <w:sz w:val="24"/>
          <w:highlight w:val="none"/>
        </w:rPr>
        <w:t xml:space="preserve">构成</w:t>
      </w:r>
      <w:bookmarkEnd w:id="255"/>
      <w:r/>
      <w:bookmarkEnd w:id="256"/>
      <w:r/>
      <w:bookmarkEnd w:id="257"/>
      <w:r/>
      <w:bookmarkEnd w:id="258"/>
      <w:r/>
      <w:bookmarkEnd w:id="259"/>
      <w:r/>
      <w:bookmarkEnd w:id="260"/>
      <w:r/>
      <w:bookmarkEnd w:id="261"/>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8"/>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9" w:name="_Toc151190157"/>
      <w:r/>
      <w:bookmarkStart w:id="290" w:name="_Toc164229225"/>
      <w:r/>
      <w:bookmarkStart w:id="291" w:name="_Toc142311032"/>
      <w:r/>
      <w:bookmarkStart w:id="292" w:name="_Toc150509281"/>
      <w:r/>
      <w:bookmarkStart w:id="293" w:name="_Toc127161444"/>
      <w:r/>
      <w:bookmarkStart w:id="294" w:name="_Toc151193628"/>
      <w:r/>
      <w:bookmarkStart w:id="295" w:name="_Toc150480768"/>
      <w:r/>
      <w:bookmarkStart w:id="296" w:name="_Toc164608799"/>
      <w:r/>
      <w:bookmarkStart w:id="297" w:name="_Toc150774735"/>
      <w:r/>
      <w:bookmarkStart w:id="298" w:name="_Toc127151731"/>
      <w:r/>
      <w:bookmarkStart w:id="299" w:name="_Toc127151530"/>
      <w:r/>
      <w:bookmarkStart w:id="300" w:name="_Toc164351624"/>
      <w:r/>
      <w:bookmarkStart w:id="301" w:name="_Toc151193772"/>
      <w:r/>
      <w:bookmarkStart w:id="302" w:name="_Toc150774630"/>
      <w:r/>
      <w:bookmarkStart w:id="303" w:name="_Toc149720823"/>
      <w:r/>
      <w:bookmarkStart w:id="304" w:name="_Toc151193918"/>
      <w:r/>
      <w:bookmarkStart w:id="305" w:name="_Toc520356155"/>
      <w:r/>
      <w:bookmarkStart w:id="306" w:name="_Toc151193844"/>
      <w:r/>
      <w:bookmarkStart w:id="307" w:name="_Toc164229371"/>
      <w:r/>
      <w:bookmarkStart w:id="308" w:name="_Toc195842895"/>
      <w:r/>
      <w:bookmarkStart w:id="309" w:name="_Toc164608644"/>
      <w:r/>
      <w:bookmarkStart w:id="310" w:name="_Toc151193700"/>
      <w:r>
        <w:rPr>
          <w:rFonts w:hint="eastAsia" w:ascii="宋体" w:hAnsi="宋体" w:cs="宋体"/>
          <w:b/>
          <w:color w:val="000000"/>
          <w:sz w:val="24"/>
          <w:highlight w:val="none"/>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11" w:name="_Toc151193701"/>
      <w:r/>
      <w:bookmarkStart w:id="312" w:name="_Toc150774631"/>
      <w:r/>
      <w:bookmarkStart w:id="313" w:name="_Toc265228369"/>
      <w:r/>
      <w:bookmarkStart w:id="314" w:name="_Toc520356156"/>
      <w:r/>
      <w:bookmarkStart w:id="315" w:name="_Toc226965804"/>
      <w:r/>
      <w:bookmarkStart w:id="316" w:name="_Toc127161445"/>
      <w:r/>
      <w:bookmarkStart w:id="317" w:name="_Toc164608800"/>
      <w:r/>
      <w:bookmarkStart w:id="318" w:name="_Toc264969221"/>
      <w:r/>
      <w:bookmarkStart w:id="319" w:name="_Toc151193629"/>
      <w:r/>
      <w:bookmarkStart w:id="320" w:name="_Toc226965721"/>
      <w:r/>
      <w:bookmarkStart w:id="321" w:name="_Toc226337227"/>
      <w:r/>
      <w:bookmarkStart w:id="322" w:name="_Toc151193773"/>
      <w:r/>
      <w:bookmarkStart w:id="323" w:name="_Toc127151732"/>
      <w:r/>
      <w:bookmarkStart w:id="324" w:name="_Ref467306513"/>
      <w:r/>
      <w:bookmarkStart w:id="325" w:name="_Toc151190158"/>
      <w:r/>
      <w:bookmarkStart w:id="326" w:name="_Toc164351625"/>
      <w:r/>
      <w:bookmarkStart w:id="327" w:name="_Toc142311033"/>
      <w:r/>
      <w:bookmarkStart w:id="328" w:name="_Toc305158799"/>
      <w:r/>
      <w:bookmarkStart w:id="329" w:name="_Toc195842896"/>
      <w:r/>
      <w:bookmarkStart w:id="330" w:name="_Toc151193845"/>
      <w:r/>
      <w:bookmarkStart w:id="331" w:name="_Toc305158873"/>
      <w:r/>
      <w:bookmarkStart w:id="332" w:name="_Toc150774736"/>
      <w:r/>
      <w:bookmarkStart w:id="333" w:name="_Toc149720824"/>
      <w:r/>
      <w:bookmarkStart w:id="334" w:name="_Toc164229372"/>
      <w:r/>
      <w:bookmarkStart w:id="335" w:name="_Toc150480769"/>
      <w:r/>
      <w:bookmarkStart w:id="336" w:name="_Toc164229226"/>
      <w:r/>
      <w:bookmarkStart w:id="337" w:name="_Toc127151531"/>
      <w:r/>
      <w:bookmarkStart w:id="338" w:name="_Toc150509282"/>
      <w:r/>
      <w:bookmarkStart w:id="339" w:name="_Toc164608645"/>
      <w:r/>
      <w:bookmarkStart w:id="340" w:name="_Toc151193919"/>
      <w:r/>
      <w:bookmarkStart w:id="341" w:name="_Toc226309775"/>
      <w:r>
        <w:rPr>
          <w:rFonts w:hint="eastAsia" w:ascii="宋体" w:hAnsi="宋体" w:cs="宋体"/>
          <w:b/>
          <w:color w:val="000000"/>
          <w:sz w:val="24"/>
          <w:highlight w:val="none"/>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42" w:name="_Toc151193774"/>
      <w:r/>
      <w:bookmarkStart w:id="343" w:name="_Toc151193702"/>
      <w:r/>
      <w:bookmarkStart w:id="344" w:name="_Toc164351626"/>
      <w:r/>
      <w:bookmarkStart w:id="345" w:name="_Toc127151733"/>
      <w:r/>
      <w:bookmarkStart w:id="346" w:name="_Toc164608646"/>
      <w:r/>
      <w:bookmarkStart w:id="347" w:name="_Toc265228370"/>
      <w:r/>
      <w:bookmarkStart w:id="348" w:name="_Toc127161446"/>
      <w:r/>
      <w:bookmarkStart w:id="349" w:name="_Toc305158800"/>
      <w:r/>
      <w:bookmarkStart w:id="350" w:name="_Toc142311034"/>
      <w:r/>
      <w:bookmarkStart w:id="351" w:name="_Toc226965722"/>
      <w:r/>
      <w:bookmarkStart w:id="352" w:name="_Toc127151532"/>
      <w:r/>
      <w:bookmarkStart w:id="353" w:name="_Toc149720825"/>
      <w:r/>
      <w:bookmarkStart w:id="354" w:name="_Toc305158874"/>
      <w:r/>
      <w:bookmarkStart w:id="355" w:name="_Toc151193630"/>
      <w:r/>
      <w:bookmarkStart w:id="356" w:name="_Toc164229373"/>
      <w:r/>
      <w:bookmarkStart w:id="357" w:name="_Toc164608801"/>
      <w:r/>
      <w:bookmarkStart w:id="358" w:name="_Toc520356157"/>
      <w:r/>
      <w:bookmarkStart w:id="359" w:name="_Toc151193846"/>
      <w:r/>
      <w:bookmarkStart w:id="360" w:name="_Toc195842897"/>
      <w:r/>
      <w:bookmarkStart w:id="361" w:name="_Toc151193920"/>
      <w:r/>
      <w:bookmarkStart w:id="362" w:name="_Toc226337228"/>
      <w:r/>
      <w:bookmarkStart w:id="363" w:name="_Toc150774632"/>
      <w:r/>
      <w:bookmarkStart w:id="364" w:name="_Toc164229227"/>
      <w:r/>
      <w:bookmarkStart w:id="365" w:name="_Toc264969222"/>
      <w:r/>
      <w:bookmarkStart w:id="366" w:name="_Toc226309776"/>
      <w:r/>
      <w:bookmarkStart w:id="367" w:name="_Toc150480770"/>
      <w:r/>
      <w:bookmarkStart w:id="368" w:name="_Toc151190159"/>
      <w:r/>
      <w:bookmarkStart w:id="369" w:name="_Toc150509283"/>
      <w:r/>
      <w:bookmarkStart w:id="370" w:name="_Toc226965805"/>
      <w:r/>
      <w:bookmarkStart w:id="371" w:name="_Toc150774737"/>
      <w:r>
        <w:rPr>
          <w:rFonts w:hint="eastAsia" w:ascii="宋体" w:hAnsi="宋体" w:cs="宋体"/>
          <w:b/>
          <w:color w:val="000000"/>
          <w:sz w:val="24"/>
          <w:highlight w:val="none"/>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72" w:name="_Toc226337229"/>
      <w:r/>
      <w:bookmarkStart w:id="373" w:name="_Toc265228371"/>
      <w:r/>
      <w:bookmarkStart w:id="374" w:name="_Toc151193847"/>
      <w:r/>
      <w:bookmarkStart w:id="375" w:name="_Toc127161447"/>
      <w:r/>
      <w:bookmarkStart w:id="376" w:name="_Toc151193631"/>
      <w:r/>
      <w:bookmarkStart w:id="377" w:name="_Toc150480771"/>
      <w:r/>
      <w:bookmarkStart w:id="378" w:name="_Toc150774738"/>
      <w:r/>
      <w:bookmarkStart w:id="379" w:name="_Toc305158875"/>
      <w:r/>
      <w:bookmarkStart w:id="380" w:name="_Toc127151734"/>
      <w:r/>
      <w:bookmarkStart w:id="381" w:name="_Toc151190160"/>
      <w:r/>
      <w:bookmarkStart w:id="382" w:name="_Toc151193921"/>
      <w:r/>
      <w:bookmarkStart w:id="383" w:name="_Toc150774633"/>
      <w:r/>
      <w:bookmarkStart w:id="384" w:name="_Toc150509284"/>
      <w:r/>
      <w:bookmarkStart w:id="385" w:name="_Toc226965806"/>
      <w:r/>
      <w:bookmarkStart w:id="386" w:name="_Toc164229228"/>
      <w:r/>
      <w:bookmarkStart w:id="387" w:name="_Toc149720826"/>
      <w:r/>
      <w:bookmarkStart w:id="388" w:name="_Toc127151533"/>
      <w:r/>
      <w:bookmarkStart w:id="389" w:name="_Toc264969223"/>
      <w:r/>
      <w:bookmarkStart w:id="390" w:name="_Toc226965723"/>
      <w:r/>
      <w:bookmarkStart w:id="391" w:name="_Toc195842898"/>
      <w:r/>
      <w:bookmarkStart w:id="392" w:name="_Toc520356158"/>
      <w:r/>
      <w:bookmarkStart w:id="393" w:name="_Toc151193703"/>
      <w:r/>
      <w:bookmarkStart w:id="394" w:name="_Toc164229374"/>
      <w:r/>
      <w:bookmarkStart w:id="395" w:name="_Toc142311035"/>
      <w:r/>
      <w:bookmarkStart w:id="396" w:name="_Toc164351627"/>
      <w:r/>
      <w:bookmarkStart w:id="397" w:name="_Toc151193775"/>
      <w:r/>
      <w:bookmarkStart w:id="398" w:name="_Toc305158801"/>
      <w:r/>
      <w:bookmarkStart w:id="399" w:name="_Toc164608647"/>
      <w:r/>
      <w:bookmarkStart w:id="400" w:name="_Toc164608802"/>
      <w:r/>
      <w:bookmarkStart w:id="401" w:name="_Toc226309777"/>
      <w:r>
        <w:rPr>
          <w:rFonts w:hint="eastAsia" w:ascii="宋体" w:hAnsi="宋体" w:cs="宋体"/>
          <w:b/>
          <w:color w:val="000000"/>
          <w:sz w:val="24"/>
          <w:highlight w:val="none"/>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02" w:name="_Toc226965724"/>
      <w:r/>
      <w:bookmarkStart w:id="403" w:name="_Toc151193704"/>
      <w:r/>
      <w:bookmarkStart w:id="404" w:name="_Toc127151534"/>
      <w:r/>
      <w:bookmarkStart w:id="405" w:name="_Toc226337230"/>
      <w:r/>
      <w:bookmarkStart w:id="406" w:name="_Toc264969224"/>
      <w:r/>
      <w:bookmarkStart w:id="407" w:name="_Toc520356159"/>
      <w:r/>
      <w:bookmarkStart w:id="408" w:name="_Toc151193776"/>
      <w:r/>
      <w:bookmarkStart w:id="409" w:name="_Toc151193848"/>
      <w:r/>
      <w:bookmarkStart w:id="410" w:name="_Toc142311036"/>
      <w:r/>
      <w:bookmarkStart w:id="411" w:name="_Toc305158876"/>
      <w:r/>
      <w:bookmarkStart w:id="412" w:name="_Toc151190161"/>
      <w:r/>
      <w:bookmarkStart w:id="413" w:name="_Toc150774739"/>
      <w:r/>
      <w:bookmarkStart w:id="414" w:name="_Toc150480772"/>
      <w:r/>
      <w:bookmarkStart w:id="415" w:name="_Toc151193632"/>
      <w:r/>
      <w:bookmarkStart w:id="416" w:name="_Toc195842899"/>
      <w:r/>
      <w:bookmarkStart w:id="417" w:name="_Toc305158802"/>
      <w:r/>
      <w:bookmarkStart w:id="418" w:name="_Toc265228372"/>
      <w:r/>
      <w:bookmarkStart w:id="419" w:name="_Toc226965807"/>
      <w:r/>
      <w:bookmarkStart w:id="420" w:name="_Toc150774634"/>
      <w:r/>
      <w:bookmarkStart w:id="421" w:name="_Toc226309778"/>
      <w:r/>
      <w:bookmarkStart w:id="422" w:name="_Toc150509285"/>
      <w:r/>
      <w:bookmarkStart w:id="423" w:name="_Toc15119392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4" w:name="_Toc151193777"/>
      <w:r/>
      <w:bookmarkStart w:id="425" w:name="_Toc226965725"/>
      <w:r/>
      <w:bookmarkStart w:id="426" w:name="_Toc142311037"/>
      <w:r/>
      <w:bookmarkStart w:id="427" w:name="_Toc226309779"/>
      <w:r/>
      <w:bookmarkStart w:id="428" w:name="_Toc151190162"/>
      <w:r/>
      <w:bookmarkStart w:id="429" w:name="_Toc150774635"/>
      <w:r/>
      <w:bookmarkStart w:id="430" w:name="_Toc520356160"/>
      <w:r/>
      <w:bookmarkStart w:id="431" w:name="_Toc150509286"/>
      <w:r/>
      <w:bookmarkStart w:id="432" w:name="_Toc149720828"/>
      <w:r/>
      <w:bookmarkStart w:id="433" w:name="_Toc226337231"/>
      <w:r/>
      <w:bookmarkStart w:id="434" w:name="_Toc151193633"/>
      <w:r/>
      <w:bookmarkStart w:id="435" w:name="_Toc127161449"/>
      <w:r/>
      <w:bookmarkStart w:id="436" w:name="_Toc151193849"/>
      <w:r/>
      <w:bookmarkStart w:id="437" w:name="_Toc150774740"/>
      <w:r/>
      <w:bookmarkStart w:id="438" w:name="_Toc164229230"/>
      <w:r/>
      <w:bookmarkStart w:id="439" w:name="_Toc305158877"/>
      <w:r/>
      <w:bookmarkStart w:id="440" w:name="_Toc226965808"/>
      <w:r/>
      <w:bookmarkStart w:id="441" w:name="_Toc127151736"/>
      <w:r/>
      <w:bookmarkStart w:id="442" w:name="_Toc164608804"/>
      <w:r/>
      <w:bookmarkStart w:id="443" w:name="_Toc164229376"/>
      <w:r/>
      <w:bookmarkStart w:id="444" w:name="_Toc305158803"/>
      <w:r/>
      <w:bookmarkStart w:id="445" w:name="_Toc164351629"/>
      <w:r/>
      <w:bookmarkStart w:id="446" w:name="_Toc264969225"/>
      <w:r/>
      <w:bookmarkStart w:id="447" w:name="_Toc127151535"/>
      <w:r/>
      <w:bookmarkStart w:id="448" w:name="_Toc151193923"/>
      <w:r/>
      <w:bookmarkStart w:id="449" w:name="_Toc150480773"/>
      <w:r/>
      <w:bookmarkStart w:id="450" w:name="_Toc195842900"/>
      <w:r/>
      <w:bookmarkStart w:id="451" w:name="_Toc265228373"/>
      <w:r/>
      <w:bookmarkStart w:id="452" w:name="_Toc151193705"/>
      <w:r/>
      <w:bookmarkStart w:id="453" w:name="_Toc164608649"/>
      <w:r>
        <w:rPr>
          <w:rFonts w:hint="eastAsia" w:ascii="宋体" w:hAnsi="宋体" w:cs="宋体"/>
          <w:b/>
          <w:color w:val="000000"/>
          <w:sz w:val="24"/>
          <w:highlight w:val="none"/>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4" w:name="_Toc150774741"/>
      <w:r/>
      <w:bookmarkStart w:id="455" w:name="_Toc127161450"/>
      <w:r/>
      <w:bookmarkStart w:id="456" w:name="_Toc150509287"/>
      <w:r/>
      <w:bookmarkStart w:id="457" w:name="_Toc305158878"/>
      <w:r/>
      <w:bookmarkStart w:id="458" w:name="_Toc142311038"/>
      <w:r/>
      <w:bookmarkStart w:id="459" w:name="_Toc264969226"/>
      <w:r/>
      <w:bookmarkStart w:id="460" w:name="_Toc150774636"/>
      <w:r/>
      <w:bookmarkStart w:id="461" w:name="_Toc195842901"/>
      <w:r/>
      <w:bookmarkStart w:id="462" w:name="_Toc305158804"/>
      <w:r/>
      <w:bookmarkStart w:id="463" w:name="_Toc164229231"/>
      <w:r/>
      <w:bookmarkStart w:id="464" w:name="_Toc151193778"/>
      <w:r/>
      <w:bookmarkStart w:id="465" w:name="_Toc151193634"/>
      <w:r/>
      <w:bookmarkStart w:id="466" w:name="_Toc150480774"/>
      <w:r/>
      <w:bookmarkStart w:id="467" w:name="_Toc149720829"/>
      <w:r/>
      <w:bookmarkStart w:id="468" w:name="_Toc226337232"/>
      <w:r/>
      <w:bookmarkStart w:id="469" w:name="_Toc151193850"/>
      <w:r/>
      <w:bookmarkStart w:id="470" w:name="_Toc226965726"/>
      <w:r/>
      <w:bookmarkStart w:id="471" w:name="_Toc164229377"/>
      <w:r/>
      <w:bookmarkStart w:id="472" w:name="_Toc151193924"/>
      <w:r/>
      <w:bookmarkStart w:id="473" w:name="_Toc226309780"/>
      <w:r/>
      <w:bookmarkStart w:id="474" w:name="_Toc127151536"/>
      <w:r/>
      <w:bookmarkStart w:id="475" w:name="_Toc151193706"/>
      <w:r/>
      <w:bookmarkStart w:id="476" w:name="_Toc164608650"/>
      <w:r/>
      <w:bookmarkStart w:id="477" w:name="_Toc226965809"/>
      <w:r/>
      <w:bookmarkStart w:id="478" w:name="_Toc265228374"/>
      <w:r/>
      <w:bookmarkStart w:id="479" w:name="_Toc164351630"/>
      <w:r/>
      <w:bookmarkStart w:id="480" w:name="_Toc164608805"/>
      <w:r/>
      <w:bookmarkStart w:id="481" w:name="_Toc151190163"/>
      <w:r/>
      <w:bookmarkStart w:id="482" w:name="_Toc520356161"/>
      <w:r/>
      <w:bookmarkStart w:id="483" w:name="_Toc127151737"/>
      <w:r>
        <w:rPr>
          <w:rFonts w:hint="eastAsia" w:ascii="宋体" w:hAnsi="宋体" w:cs="宋体"/>
          <w:b/>
          <w:color w:val="000000"/>
          <w:sz w:val="24"/>
          <w:highlight w:val="none"/>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4" w:name="_Toc127151738"/>
      <w:r/>
      <w:bookmarkStart w:id="485" w:name="_Toc164229232"/>
      <w:r/>
      <w:bookmarkStart w:id="486" w:name="_Toc305158805"/>
      <w:r/>
      <w:bookmarkStart w:id="487" w:name="_Toc151190164"/>
      <w:r/>
      <w:bookmarkStart w:id="488" w:name="_Toc264969227"/>
      <w:r/>
      <w:bookmarkStart w:id="489" w:name="_Toc151193851"/>
      <w:r/>
      <w:bookmarkStart w:id="490" w:name="_Toc305158879"/>
      <w:r/>
      <w:bookmarkStart w:id="491" w:name="_Toc226309781"/>
      <w:r/>
      <w:bookmarkStart w:id="492" w:name="_Toc149720830"/>
      <w:r/>
      <w:bookmarkStart w:id="493" w:name="_Toc142311039"/>
      <w:r/>
      <w:bookmarkStart w:id="494" w:name="_Toc164608806"/>
      <w:r/>
      <w:bookmarkStart w:id="495" w:name="_Toc127161451"/>
      <w:r/>
      <w:bookmarkStart w:id="496" w:name="_Toc520356162"/>
      <w:r/>
      <w:bookmarkStart w:id="497" w:name="_Toc151193635"/>
      <w:r/>
      <w:bookmarkStart w:id="498" w:name="_Toc164229378"/>
      <w:r/>
      <w:bookmarkStart w:id="499" w:name="_Toc151193925"/>
      <w:r/>
      <w:bookmarkStart w:id="500" w:name="_Toc226337233"/>
      <w:r/>
      <w:bookmarkStart w:id="501" w:name="_Toc127151537"/>
      <w:r/>
      <w:bookmarkStart w:id="502" w:name="_Toc164608651"/>
      <w:r/>
      <w:bookmarkStart w:id="503" w:name="_Toc150480775"/>
      <w:r/>
      <w:bookmarkStart w:id="504" w:name="_Toc226965727"/>
      <w:r/>
      <w:bookmarkStart w:id="505" w:name="_Toc150509288"/>
      <w:r/>
      <w:bookmarkStart w:id="506" w:name="_Toc151193779"/>
      <w:r/>
      <w:bookmarkStart w:id="507" w:name="_Toc150774637"/>
      <w:r/>
      <w:bookmarkStart w:id="508" w:name="_Toc265228375"/>
      <w:r/>
      <w:bookmarkStart w:id="509" w:name="_Toc164351631"/>
      <w:r/>
      <w:bookmarkStart w:id="510" w:name="_Toc226965810"/>
      <w:r/>
      <w:bookmarkStart w:id="511" w:name="_Toc195842902"/>
      <w:r/>
      <w:bookmarkStart w:id="512" w:name="_Toc150774742"/>
      <w:r/>
      <w:bookmarkStart w:id="513" w:name="_Toc151193707"/>
      <w:r>
        <w:rPr>
          <w:rFonts w:hint="eastAsia" w:ascii="宋体" w:hAnsi="宋体" w:cs="宋体"/>
          <w:b/>
          <w:color w:val="000000"/>
          <w:sz w:val="24"/>
          <w:highlight w:val="none"/>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4" w:name="_Toc520356163"/>
      <w:r/>
      <w:bookmarkStart w:id="515" w:name="_Toc151193852"/>
      <w:r/>
      <w:bookmarkStart w:id="516" w:name="_Toc151193926"/>
      <w:r/>
      <w:bookmarkStart w:id="517" w:name="_Toc226337234"/>
      <w:r/>
      <w:bookmarkStart w:id="518" w:name="_Toc305158806"/>
      <w:r/>
      <w:bookmarkStart w:id="519" w:name="_Toc265228376"/>
      <w:r/>
      <w:bookmarkStart w:id="520" w:name="_Toc150480776"/>
      <w:r/>
      <w:bookmarkStart w:id="521" w:name="_Toc150774743"/>
      <w:r/>
      <w:bookmarkStart w:id="522" w:name="_Toc305158880"/>
      <w:r/>
      <w:bookmarkStart w:id="523" w:name="_Toc142311040"/>
      <w:r/>
      <w:bookmarkStart w:id="524" w:name="_Toc226965728"/>
      <w:r/>
      <w:bookmarkStart w:id="525" w:name="_Toc151193708"/>
      <w:r/>
      <w:bookmarkStart w:id="526" w:name="_Toc150774638"/>
      <w:r/>
      <w:bookmarkStart w:id="527" w:name="_Toc150509289"/>
      <w:r/>
      <w:bookmarkStart w:id="528" w:name="_Toc226965811"/>
      <w:r/>
      <w:bookmarkStart w:id="529" w:name="_Toc151193636"/>
      <w:r/>
      <w:bookmarkStart w:id="530" w:name="_Toc195842903"/>
      <w:r/>
      <w:bookmarkStart w:id="531" w:name="_Toc226309782"/>
      <w:r/>
      <w:bookmarkStart w:id="532" w:name="_Toc151190165"/>
      <w:r/>
      <w:bookmarkStart w:id="533" w:name="_Toc151193780"/>
      <w:r/>
      <w:bookmarkStart w:id="534" w:name="_Toc264969228"/>
      <w:r/>
      <w:bookmarkStart w:id="535" w:name="_Toc127151538"/>
      <w:r>
        <w:rPr>
          <w:rFonts w:hint="eastAsia" w:ascii="宋体" w:hAnsi="宋体" w:eastAsia="宋体" w:cs="宋体"/>
          <w:color w:val="000000"/>
          <w:sz w:val="28"/>
          <w:highlight w:val="none"/>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6" w:name="_Toc151193637"/>
      <w:r/>
      <w:bookmarkStart w:id="537" w:name="_Toc151193927"/>
      <w:r/>
      <w:bookmarkStart w:id="538" w:name="_Toc265228377"/>
      <w:r/>
      <w:bookmarkStart w:id="539" w:name="_Toc226337235"/>
      <w:r/>
      <w:bookmarkStart w:id="540" w:name="_Toc151193853"/>
      <w:r/>
      <w:bookmarkStart w:id="541" w:name="_Toc305158881"/>
      <w:r/>
      <w:bookmarkStart w:id="542" w:name="_Toc264969229"/>
      <w:r/>
      <w:bookmarkStart w:id="543" w:name="_Toc151193709"/>
      <w:r/>
      <w:bookmarkStart w:id="544" w:name="_Toc150480777"/>
      <w:r/>
      <w:bookmarkStart w:id="545" w:name="_Toc226309783"/>
      <w:r/>
      <w:bookmarkStart w:id="546" w:name="_Toc164351633"/>
      <w:r/>
      <w:bookmarkStart w:id="547" w:name="_Toc151190166"/>
      <w:r/>
      <w:bookmarkStart w:id="548" w:name="_Toc164608653"/>
      <w:r/>
      <w:bookmarkStart w:id="549" w:name="_Toc127151740"/>
      <w:r/>
      <w:bookmarkStart w:id="550" w:name="_Toc151193781"/>
      <w:r/>
      <w:bookmarkStart w:id="551" w:name="_Toc127151539"/>
      <w:r/>
      <w:bookmarkStart w:id="552" w:name="_Toc149720832"/>
      <w:r/>
      <w:bookmarkStart w:id="553" w:name="_Toc142311041"/>
      <w:r/>
      <w:bookmarkStart w:id="554" w:name="_Toc127161453"/>
      <w:r/>
      <w:bookmarkStart w:id="555" w:name="_Toc164229380"/>
      <w:r/>
      <w:bookmarkStart w:id="556" w:name="_Toc226965812"/>
      <w:r/>
      <w:bookmarkStart w:id="557" w:name="_Toc164229234"/>
      <w:r/>
      <w:bookmarkStart w:id="558" w:name="_Toc305158807"/>
      <w:r/>
      <w:bookmarkStart w:id="559" w:name="_Toc150509290"/>
      <w:r/>
      <w:bookmarkStart w:id="560" w:name="_Toc150774639"/>
      <w:r/>
      <w:bookmarkStart w:id="561" w:name="_Toc226965729"/>
      <w:r/>
      <w:bookmarkStart w:id="562" w:name="_Toc150774744"/>
      <w:r/>
      <w:bookmarkStart w:id="563" w:name="_Toc164608808"/>
      <w:r/>
      <w:bookmarkStart w:id="564" w:name="_Toc195842904"/>
      <w:r/>
      <w:bookmarkStart w:id="565" w:name="_Toc520356164"/>
      <w:r>
        <w:rPr>
          <w:rFonts w:hint="eastAsia" w:ascii="宋体" w:hAnsi="宋体" w:cs="宋体"/>
          <w:b/>
          <w:color w:val="000000"/>
          <w:sz w:val="24"/>
          <w:highlight w:val="none"/>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6"/>
      <w:r/>
      <w:bookmarkStart w:id="567" w:name="_Toc150774745"/>
      <w:r/>
      <w:bookmarkStart w:id="568" w:name="_Toc151193638"/>
      <w:r/>
      <w:bookmarkStart w:id="569" w:name="_Toc151193928"/>
      <w:r/>
      <w:bookmarkStart w:id="570" w:name="_Toc150480778"/>
      <w:r/>
      <w:bookmarkStart w:id="571" w:name="_Toc150509291"/>
      <w:r/>
      <w:bookmarkStart w:id="572" w:name="_Toc151193782"/>
      <w:r/>
      <w:bookmarkStart w:id="573" w:name="_Toc149720833"/>
      <w:r/>
      <w:bookmarkStart w:id="574" w:name="_Toc127161454"/>
      <w:r/>
      <w:bookmarkStart w:id="575" w:name="_Toc195842905"/>
      <w:r/>
      <w:bookmarkStart w:id="576" w:name="_Toc164229381"/>
      <w:r/>
      <w:bookmarkStart w:id="577" w:name="_Toc164608654"/>
      <w:r/>
      <w:bookmarkStart w:id="578" w:name="_Toc151190167"/>
      <w:r/>
      <w:bookmarkStart w:id="579" w:name="_Toc151193854"/>
      <w:r/>
      <w:bookmarkStart w:id="580" w:name="_Toc226965813"/>
      <w:r/>
      <w:bookmarkStart w:id="581" w:name="_Toc164229235"/>
      <w:r/>
      <w:bookmarkStart w:id="582" w:name="_Toc164608809"/>
      <w:r/>
      <w:bookmarkStart w:id="583" w:name="_Toc142311042"/>
      <w:r/>
      <w:bookmarkStart w:id="584" w:name="_Toc151193710"/>
      <w:r/>
      <w:bookmarkStart w:id="585" w:name="_Toc226309784"/>
      <w:r/>
      <w:bookmarkStart w:id="586" w:name="_Toc164351634"/>
      <w:r/>
      <w:bookmarkStart w:id="587" w:name="_Toc265228378"/>
      <w:r/>
      <w:bookmarkStart w:id="588" w:name="_Toc127151741"/>
      <w:r/>
      <w:bookmarkStart w:id="589" w:name="_Toc150774640"/>
      <w:r/>
      <w:bookmarkStart w:id="590" w:name="_Toc226965730"/>
      <w:r/>
      <w:bookmarkStart w:id="591" w:name="_Toc305158808"/>
      <w:r/>
      <w:bookmarkStart w:id="592" w:name="_Toc305158882"/>
      <w:r/>
      <w:bookmarkStart w:id="593" w:name="_Toc264969230"/>
      <w:r/>
      <w:bookmarkStart w:id="594" w:name="_Toc127151540"/>
      <w:r/>
      <w:bookmarkStart w:id="595" w:name="_Toc226337236"/>
      <w:r>
        <w:rPr>
          <w:rFonts w:hint="eastAsia" w:ascii="宋体" w:hAnsi="宋体" w:cs="宋体"/>
          <w:b/>
          <w:color w:val="000000"/>
          <w:sz w:val="24"/>
          <w:highlight w:val="none"/>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6" w:name="_Toc520356166"/>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6"/>
      <w:r/>
      <w:bookmarkStart w:id="597" w:name="_Toc520356169"/>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8" w:name="_Toc226965818"/>
      <w:r/>
      <w:bookmarkStart w:id="599" w:name="_Toc195842910"/>
      <w:r/>
      <w:bookmarkStart w:id="600" w:name="_Toc226337241"/>
      <w:r/>
      <w:bookmarkStart w:id="601" w:name="_Toc151193787"/>
      <w:r/>
      <w:bookmarkStart w:id="602" w:name="_Toc265228383"/>
      <w:r/>
      <w:bookmarkStart w:id="603" w:name="_Toc151193933"/>
      <w:r/>
      <w:bookmarkStart w:id="604" w:name="_Toc226309789"/>
      <w:r/>
      <w:bookmarkStart w:id="605" w:name="_Toc305158813"/>
      <w:r/>
      <w:bookmarkStart w:id="606" w:name="_Toc127151545"/>
      <w:r/>
      <w:bookmarkStart w:id="607" w:name="_Toc226965735"/>
      <w:r/>
      <w:bookmarkStart w:id="608" w:name="_Toc151193715"/>
      <w:r/>
      <w:bookmarkStart w:id="609" w:name="_Toc305158887"/>
      <w:r/>
      <w:bookmarkStart w:id="610" w:name="_Toc150480783"/>
      <w:r/>
      <w:bookmarkStart w:id="611" w:name="_Toc151193859"/>
      <w:r/>
      <w:bookmarkStart w:id="612" w:name="_Toc150774750"/>
      <w:r/>
      <w:bookmarkStart w:id="613" w:name="_Toc151193643"/>
      <w:r/>
      <w:bookmarkStart w:id="614" w:name="_Toc142311047"/>
      <w:r/>
      <w:bookmarkStart w:id="615" w:name="_Toc150509296"/>
      <w:r/>
      <w:bookmarkStart w:id="616" w:name="_Toc151190172"/>
      <w:r/>
      <w:bookmarkStart w:id="617" w:name="_Toc150774645"/>
      <w:r/>
      <w:bookmarkStart w:id="618" w:name="_Toc264969235"/>
      <w:r>
        <w:rPr>
          <w:rFonts w:hint="eastAsia" w:ascii="宋体" w:hAnsi="宋体" w:eastAsia="宋体" w:cs="宋体"/>
          <w:color w:val="000000"/>
          <w:sz w:val="28"/>
          <w:highlight w:val="none"/>
        </w:rPr>
        <w:t xml:space="preserve">六   </w:t>
      </w:r>
      <w:bookmarkEnd w:id="597"/>
      <w:r>
        <w:rPr>
          <w:rFonts w:hint="eastAsia" w:ascii="宋体" w:hAnsi="宋体" w:eastAsia="宋体" w:cs="宋体"/>
          <w:color w:val="000000"/>
          <w:sz w:val="28"/>
          <w:highlight w:val="none"/>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164351641"/>
      <w:r/>
      <w:bookmarkStart w:id="620" w:name="_Toc151193789"/>
      <w:r/>
      <w:bookmarkStart w:id="621" w:name="_Toc164608816"/>
      <w:r/>
      <w:bookmarkStart w:id="622" w:name="_Toc226337243"/>
      <w:r/>
      <w:bookmarkStart w:id="623" w:name="_Toc195842912"/>
      <w:r/>
      <w:bookmarkStart w:id="624" w:name="_Toc151193935"/>
      <w:r/>
      <w:bookmarkStart w:id="625" w:name="_Toc151193717"/>
      <w:r/>
      <w:bookmarkStart w:id="626" w:name="_Toc127161461"/>
      <w:r/>
      <w:bookmarkStart w:id="627" w:name="_Toc164608661"/>
      <w:r/>
      <w:bookmarkStart w:id="628" w:name="_Toc142311049"/>
      <w:r/>
      <w:bookmarkStart w:id="629" w:name="_Toc150480785"/>
      <w:r/>
      <w:bookmarkStart w:id="630" w:name="_Toc226309791"/>
      <w:r/>
      <w:bookmarkStart w:id="631" w:name="_Toc149720840"/>
      <w:r/>
      <w:bookmarkStart w:id="632" w:name="_Toc127151748"/>
      <w:r/>
      <w:bookmarkStart w:id="633" w:name="_Toc150509298"/>
      <w:r/>
      <w:bookmarkStart w:id="634" w:name="_Toc150774647"/>
      <w:r/>
      <w:bookmarkStart w:id="635" w:name="_Toc164229242"/>
      <w:r/>
      <w:bookmarkStart w:id="636" w:name="_Toc226965820"/>
      <w:r/>
      <w:bookmarkStart w:id="637" w:name="_Toc264969237"/>
      <w:r/>
      <w:bookmarkStart w:id="638" w:name="_Toc151193645"/>
      <w:r/>
      <w:bookmarkStart w:id="639" w:name="_Toc265228385"/>
      <w:r/>
      <w:bookmarkStart w:id="640" w:name="_Toc305158889"/>
      <w:r/>
      <w:bookmarkStart w:id="641" w:name="_Toc226965737"/>
      <w:r/>
      <w:bookmarkStart w:id="642" w:name="_Toc150774752"/>
      <w:r/>
      <w:bookmarkStart w:id="643" w:name="_Toc151190174"/>
      <w:r/>
      <w:bookmarkStart w:id="644" w:name="_Toc305158815"/>
      <w:r/>
      <w:bookmarkStart w:id="645" w:name="_Toc127151547"/>
      <w:r/>
      <w:bookmarkStart w:id="646" w:name="_Toc164229388"/>
      <w:r/>
      <w:bookmarkStart w:id="647" w:name="_Toc15119386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8" w:name="_Toc151193863"/>
      <w:r/>
      <w:bookmarkStart w:id="649" w:name="_Toc127151549"/>
      <w:r/>
      <w:bookmarkStart w:id="650" w:name="_Toc151193937"/>
      <w:r/>
      <w:bookmarkStart w:id="651" w:name="_Toc305158817"/>
      <w:r/>
      <w:bookmarkStart w:id="652" w:name="_Toc164229244"/>
      <w:r/>
      <w:bookmarkStart w:id="653" w:name="_Toc164608663"/>
      <w:r/>
      <w:bookmarkStart w:id="654" w:name="_Toc226309793"/>
      <w:r/>
      <w:bookmarkStart w:id="655" w:name="_Toc164608818"/>
      <w:r/>
      <w:bookmarkStart w:id="656" w:name="_Ref467307090"/>
      <w:r/>
      <w:bookmarkStart w:id="657" w:name="_Toc520356176"/>
      <w:r/>
      <w:bookmarkStart w:id="658" w:name="_Ref467306425"/>
      <w:r/>
      <w:bookmarkStart w:id="659" w:name="_Toc127161463"/>
      <w:r/>
      <w:bookmarkStart w:id="660" w:name="_Toc149720842"/>
      <w:r/>
      <w:bookmarkStart w:id="661" w:name="_Toc264969239"/>
      <w:r/>
      <w:bookmarkStart w:id="662" w:name="_Toc195842914"/>
      <w:r/>
      <w:bookmarkStart w:id="663" w:name="_Toc150774649"/>
      <w:r/>
      <w:bookmarkStart w:id="664" w:name="_Toc226965822"/>
      <w:r/>
      <w:bookmarkStart w:id="665" w:name="_Toc305158891"/>
      <w:r/>
      <w:bookmarkStart w:id="666" w:name="_Toc150480787"/>
      <w:r/>
      <w:bookmarkStart w:id="667" w:name="_Toc151193719"/>
      <w:r/>
      <w:bookmarkStart w:id="668" w:name="_Toc226337245"/>
      <w:r/>
      <w:bookmarkStart w:id="669" w:name="_Toc142311051"/>
      <w:r/>
      <w:bookmarkStart w:id="670" w:name="_Toc150509300"/>
      <w:r/>
      <w:bookmarkStart w:id="671" w:name="_Toc151193791"/>
      <w:r/>
      <w:bookmarkStart w:id="672" w:name="_Toc164229390"/>
      <w:r/>
      <w:bookmarkStart w:id="673" w:name="_Toc150774754"/>
      <w:r/>
      <w:bookmarkStart w:id="674" w:name="_Toc151190176"/>
      <w:r/>
      <w:bookmarkStart w:id="675" w:name="_Toc151193647"/>
      <w:r/>
      <w:bookmarkStart w:id="676" w:name="_Toc265228387"/>
      <w:r/>
      <w:bookmarkStart w:id="677" w:name="_Toc226965739"/>
      <w:r/>
      <w:bookmarkStart w:id="678" w:name="_Toc164351643"/>
      <w:r/>
      <w:bookmarkStart w:id="679" w:name="_Toc127151750"/>
      <w:r>
        <w:rPr>
          <w:rFonts w:hint="eastAsia" w:ascii="宋体" w:hAnsi="宋体" w:cs="宋体"/>
          <w:b/>
          <w:color w:val="000000"/>
          <w:sz w:val="24"/>
          <w:highlight w:val="none"/>
        </w:rPr>
        <w:t xml:space="preserve">中标公告与中标通知书</w:t>
      </w:r>
      <w:bookmarkEnd w:id="651"/>
      <w:r/>
      <w:bookmarkEnd w:id="665"/>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8"/>
      <w:r/>
      <w:bookmarkEnd w:id="649"/>
      <w:r/>
      <w:bookmarkEnd w:id="650"/>
      <w:r/>
      <w:bookmarkEnd w:id="652"/>
      <w:r/>
      <w:bookmarkEnd w:id="653"/>
      <w:r/>
      <w:bookmarkEnd w:id="654"/>
      <w:r/>
      <w:bookmarkEnd w:id="655"/>
      <w:r/>
      <w:bookmarkEnd w:id="659"/>
      <w:r/>
      <w:bookmarkEnd w:id="660"/>
      <w:r/>
      <w:bookmarkEnd w:id="661"/>
      <w:r/>
      <w:bookmarkEnd w:id="662"/>
      <w:r/>
      <w:bookmarkEnd w:id="663"/>
      <w:r/>
      <w:bookmarkEnd w:id="664"/>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Start w:id="680" w:name="_Toc151193792"/>
      <w:r/>
      <w:bookmarkStart w:id="681" w:name="_Toc150480788"/>
      <w:r/>
      <w:bookmarkStart w:id="682" w:name="_Toc265228388"/>
      <w:r/>
      <w:bookmarkStart w:id="683" w:name="_Toc164229245"/>
      <w:r/>
      <w:bookmarkStart w:id="684" w:name="_Toc151193864"/>
      <w:r/>
      <w:bookmarkStart w:id="685" w:name="_Toc164351644"/>
      <w:r/>
      <w:bookmarkStart w:id="686" w:name="_Toc520356175"/>
      <w:r/>
      <w:bookmarkStart w:id="687" w:name="_Toc150774755"/>
      <w:r/>
      <w:bookmarkStart w:id="688" w:name="_Ref467307062"/>
      <w:r/>
      <w:bookmarkStart w:id="689" w:name="_Toc151190177"/>
      <w:r/>
      <w:bookmarkStart w:id="690" w:name="_Toc226965740"/>
      <w:r/>
      <w:bookmarkStart w:id="691" w:name="_Toc226337246"/>
      <w:r/>
      <w:bookmarkStart w:id="692" w:name="_Toc127151751"/>
      <w:r/>
      <w:bookmarkStart w:id="693" w:name="_Toc150774650"/>
      <w:r/>
      <w:bookmarkStart w:id="694" w:name="_Toc164608819"/>
      <w:r/>
      <w:bookmarkStart w:id="695" w:name="_Toc149720843"/>
      <w:r/>
      <w:bookmarkStart w:id="696" w:name="_Toc164608664"/>
      <w:r/>
      <w:bookmarkStart w:id="697" w:name="_Ref467306377"/>
      <w:r/>
      <w:bookmarkStart w:id="698" w:name="_Toc127161464"/>
      <w:r/>
      <w:bookmarkStart w:id="699" w:name="_Toc164229391"/>
      <w:r/>
      <w:bookmarkStart w:id="700" w:name="_Ref467306978"/>
      <w:r/>
      <w:bookmarkStart w:id="701" w:name="_Toc305158818"/>
      <w:r/>
      <w:bookmarkStart w:id="702" w:name="_Ref467307204"/>
      <w:r/>
      <w:bookmarkStart w:id="703" w:name="_Toc226965823"/>
      <w:r/>
      <w:bookmarkStart w:id="704" w:name="_Toc151193720"/>
      <w:r/>
      <w:bookmarkStart w:id="705" w:name="_Toc151193938"/>
      <w:r/>
      <w:bookmarkStart w:id="706" w:name="_Toc142311052"/>
      <w:r/>
      <w:bookmarkStart w:id="707" w:name="_Toc305158892"/>
      <w:r/>
      <w:bookmarkStart w:id="708" w:name="_Toc151193648"/>
      <w:r/>
      <w:bookmarkStart w:id="709" w:name="_Toc195842915"/>
      <w:r/>
      <w:bookmarkStart w:id="710" w:name="_Toc264969240"/>
      <w:r/>
      <w:bookmarkStart w:id="711" w:name="_Toc127151550"/>
      <w:r/>
      <w:bookmarkStart w:id="712" w:name="_Toc226309794"/>
      <w:r/>
      <w:bookmarkStart w:id="713" w:name="_Toc150509301"/>
      <w:r>
        <w:rPr>
          <w:rFonts w:hint="eastAsia" w:ascii="宋体" w:hAnsi="宋体" w:cs="宋体"/>
          <w:b/>
          <w:color w:val="000000"/>
          <w:sz w:val="24"/>
          <w:highlight w:val="none"/>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6"/>
      <w:r/>
      <w:bookmarkEnd w:id="657"/>
      <w:r/>
      <w:bookmarkEnd w:id="658"/>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4" w:name="_Hlt100654014"/>
      <w:r>
        <w:rPr>
          <w:rStyle w:val="1147"/>
          <w:rFonts w:hint="eastAsia" w:ascii="宋体" w:hAnsi="宋体" w:cs="宋体"/>
          <w:color w:val="000000"/>
          <w:highlight w:val="none"/>
        </w:rPr>
        <w:t xml:space="preserve">s</w:t>
      </w:r>
      <w:bookmarkEnd w:id="714"/>
      <w:r>
        <w:rPr>
          <w:rStyle w:val="1147"/>
          <w:rFonts w:hint="eastAsia" w:ascii="宋体" w:hAnsi="宋体" w:cs="宋体"/>
          <w:color w:val="000000"/>
          <w:highlight w:val="none"/>
        </w:rPr>
        <w:t xml:space="preserve">.m</w:t>
      </w:r>
      <w:bookmarkStart w:id="715" w:name="_Hlt100653994"/>
      <w:r/>
      <w:bookmarkStart w:id="716" w:name="_Hlt100653993"/>
      <w:r>
        <w:rPr>
          <w:rStyle w:val="1147"/>
          <w:rFonts w:hint="eastAsia" w:ascii="宋体" w:hAnsi="宋体" w:cs="宋体"/>
          <w:color w:val="000000"/>
          <w:highlight w:val="none"/>
        </w:rPr>
        <w:t xml:space="preserve">o</w:t>
      </w:r>
      <w:bookmarkEnd w:id="715"/>
      <w:r/>
      <w:bookmarkEnd w:id="716"/>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7" w:name="_Toc305158822"/>
      <w:r/>
      <w:bookmarkStart w:id="718" w:name="_Toc353873934"/>
      <w:r/>
      <w:bookmarkStart w:id="719" w:name="_Toc127151554"/>
      <w:r/>
      <w:bookmarkStart w:id="720" w:name="_Toc265228392"/>
      <w:r/>
      <w:bookmarkStart w:id="721" w:name="_Toc150774759"/>
      <w:r/>
      <w:bookmarkStart w:id="722" w:name="_Toc353825544"/>
      <w:r/>
      <w:bookmarkStart w:id="723" w:name="_Toc226337250"/>
      <w:r/>
      <w:bookmarkStart w:id="724" w:name="_Toc142311056"/>
      <w:r/>
      <w:bookmarkStart w:id="725" w:name="_Toc353873664"/>
      <w:r/>
      <w:bookmarkStart w:id="726" w:name="_Toc264969244"/>
      <w:r/>
      <w:bookmarkStart w:id="727" w:name="_Toc305158896"/>
      <w:r/>
      <w:bookmarkStart w:id="728" w:name="_Toc226965827"/>
      <w:r/>
      <w:bookmarkStart w:id="729" w:name="_Toc150480792"/>
      <w:r>
        <w:rPr>
          <w:rFonts w:hint="eastAsia" w:ascii="宋体" w:hAnsi="宋体" w:cs="宋体"/>
          <w:color w:val="000000"/>
          <w:sz w:val="24"/>
          <w:highlight w:val="none"/>
        </w:rPr>
        <w:br w:type="page" w:clear="all"/>
      </w:r>
      <w:bookmarkStart w:id="730" w:name="_Toc99301421"/>
      <w:r>
        <w:rPr>
          <w:rFonts w:hint="eastAsia" w:ascii="宋体" w:hAnsi="宋体" w:cs="宋体"/>
          <w:b/>
          <w:color w:val="000000"/>
          <w:sz w:val="36"/>
          <w:szCs w:val="36"/>
          <w:highlight w:val="none"/>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ascii="宋体" w:hAnsi="宋体" w:cs="宋体"/>
          <w:b/>
          <w:color w:val="000000"/>
          <w:sz w:val="36"/>
          <w:szCs w:val="36"/>
          <w:highlight w:val="none"/>
        </w:rPr>
        <w:t xml:space="preserve">资格审查</w:t>
      </w:r>
      <w:bookmarkEnd w:id="730"/>
      <w:r/>
      <w:bookmarkStart w:id="731"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32" w:name="_Toc99301422"/>
      <w:r>
        <w:rPr>
          <w:rFonts w:hint="eastAsia" w:ascii="宋体" w:hAnsi="宋体" w:cs="宋体"/>
          <w:b/>
          <w:color w:val="000000"/>
          <w:sz w:val="24"/>
          <w:highlight w:val="none"/>
        </w:rPr>
        <w:t xml:space="preserve">一、资格审查程序</w:t>
      </w:r>
      <w:bookmarkEnd w:id="732"/>
      <w:r>
        <w:rPr>
          <w:rFonts w:hint="eastAsia" w:ascii="宋体" w:hAnsi="宋体" w:cs="宋体"/>
          <w:b/>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1"/>
            <w:r/>
            <w:bookmarkStart w:id="733" w:name="_Hlt487972895"/>
            <w:r/>
            <w:bookmarkEnd w:id="733"/>
            <w:r/>
            <w:bookmarkStart w:id="734" w:name="_Toc127151779"/>
            <w:r/>
            <w:bookmarkStart w:id="735" w:name="_Toc127161490"/>
            <w:r/>
            <w:bookmarkStart w:id="736" w:name="_Toc353873940"/>
            <w:r/>
            <w:bookmarkStart w:id="737" w:name="_Toc226965858"/>
            <w:r/>
            <w:bookmarkStart w:id="738" w:name="_Toc35382555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491"/>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9" w:name="_Toc99301423"/>
      <w:r>
        <w:rPr>
          <w:rFonts w:hint="eastAsia" w:ascii="宋体" w:hAnsi="宋体" w:cs="宋体"/>
          <w:b/>
          <w:color w:val="000000"/>
          <w:sz w:val="36"/>
          <w:szCs w:val="36"/>
          <w:highlight w:val="none"/>
        </w:rPr>
        <w:t xml:space="preserve">第四章   </w:t>
      </w:r>
      <w:bookmarkEnd w:id="734"/>
      <w:r/>
      <w:bookmarkEnd w:id="735"/>
      <w:r/>
      <w:bookmarkEnd w:id="736"/>
      <w:r/>
      <w:bookmarkEnd w:id="737"/>
      <w:r/>
      <w:bookmarkEnd w:id="738"/>
      <w:r/>
      <w:bookmarkStart w:id="740" w:name="_Hlt164229061"/>
      <w:r/>
      <w:bookmarkEnd w:id="740"/>
      <w:r>
        <w:rPr>
          <w:rFonts w:hint="eastAsia" w:ascii="宋体" w:hAnsi="宋体" w:cs="宋体"/>
          <w:b/>
          <w:color w:val="000000"/>
          <w:sz w:val="36"/>
          <w:szCs w:val="36"/>
          <w:highlight w:val="none"/>
        </w:rPr>
        <w:t xml:space="preserve">评标程序、评标方法和评标标准</w:t>
      </w:r>
      <w:bookmarkEnd w:id="739"/>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41" w:name="_Toc151193783"/>
      <w:r/>
      <w:bookmarkStart w:id="742" w:name="_Toc151193855"/>
      <w:r/>
      <w:bookmarkStart w:id="743" w:name="_Toc164351635"/>
      <w:r/>
      <w:bookmarkStart w:id="744" w:name="_Toc226309785"/>
      <w:r/>
      <w:bookmarkStart w:id="745" w:name="_Toc164229382"/>
      <w:r/>
      <w:bookmarkStart w:id="746" w:name="_Toc151193639"/>
      <w:r/>
      <w:bookmarkStart w:id="747" w:name="_Toc142311043"/>
      <w:r/>
      <w:bookmarkStart w:id="748" w:name="_Toc164229236"/>
      <w:r/>
      <w:bookmarkStart w:id="749" w:name="_Toc127151541"/>
      <w:r/>
      <w:bookmarkStart w:id="750" w:name="_Toc264969231"/>
      <w:r/>
      <w:bookmarkStart w:id="751" w:name="_Toc151190168"/>
      <w:r/>
      <w:bookmarkStart w:id="752" w:name="_Toc226337237"/>
      <w:r/>
      <w:bookmarkStart w:id="753" w:name="_Toc226965731"/>
      <w:r/>
      <w:bookmarkStart w:id="754" w:name="_Toc164608810"/>
      <w:r/>
      <w:bookmarkStart w:id="755" w:name="_Toc149720834"/>
      <w:r/>
      <w:bookmarkStart w:id="756" w:name="_Toc226965814"/>
      <w:r/>
      <w:bookmarkStart w:id="757" w:name="_Toc151193929"/>
      <w:r/>
      <w:bookmarkStart w:id="758" w:name="_Toc265228379"/>
      <w:r/>
      <w:bookmarkStart w:id="759" w:name="_Toc150509292"/>
      <w:r/>
      <w:bookmarkStart w:id="760" w:name="_Toc150480779"/>
      <w:r/>
      <w:bookmarkStart w:id="761" w:name="_Toc164608655"/>
      <w:r/>
      <w:bookmarkStart w:id="762" w:name="_Toc150774746"/>
      <w:r/>
      <w:bookmarkStart w:id="763" w:name="_Toc127161455"/>
      <w:r/>
      <w:bookmarkStart w:id="764" w:name="_Toc305158809"/>
      <w:r/>
      <w:bookmarkStart w:id="765" w:name="_Toc150774641"/>
      <w:r/>
      <w:bookmarkStart w:id="766" w:name="_Toc127151742"/>
      <w:r/>
      <w:bookmarkStart w:id="767" w:name="_Toc305158883"/>
      <w:r/>
      <w:bookmarkStart w:id="768" w:name="_Toc151193711"/>
      <w:r/>
      <w:bookmarkStart w:id="769" w:name="_Toc195842906"/>
      <w:r/>
      <w:bookmarkStart w:id="770" w:name="_Toc353873941"/>
      <w:r/>
      <w:bookmarkStart w:id="771" w:name="_Toc353825551"/>
      <w:r/>
      <w:bookmarkStart w:id="772" w:name="_Toc353873665"/>
      <w:r/>
      <w:bookmarkStart w:id="773" w:name="_Toc353825545"/>
      <w:r/>
      <w:bookmarkStart w:id="774" w:name="_Toc353873935"/>
      <w:r/>
      <w:bookmarkStart w:id="775" w:name="_Toc226337251"/>
      <w:r/>
      <w:bookmarkStart w:id="776" w:name="_Toc195842920"/>
      <w:r/>
      <w:bookmarkStart w:id="777" w:name="_Toc142311057"/>
      <w:r/>
      <w:bookmarkStart w:id="778" w:name="_Toc150774760"/>
      <w:r/>
      <w:bookmarkStart w:id="779" w:name="_Toc264969245"/>
      <w:r/>
      <w:bookmarkStart w:id="780" w:name="_Toc226965828"/>
      <w:r/>
      <w:bookmarkStart w:id="781" w:name="_Toc305158823"/>
      <w:r/>
      <w:bookmarkStart w:id="782" w:name="_Toc150480793"/>
      <w:r/>
      <w:bookmarkStart w:id="783" w:name="_Toc305158897"/>
      <w:r/>
      <w:bookmarkStart w:id="784" w:name="_Toc265228393"/>
      <w:r/>
      <w:bookmarkStart w:id="785" w:name="_Toc127151555"/>
      <w:r>
        <w:rPr>
          <w:rFonts w:hint="eastAsia" w:ascii="宋体" w:hAnsi="宋体" w:cs="宋体"/>
          <w:b/>
          <w:color w:val="000000"/>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6" w:name="_Toc520356167"/>
      <w:r>
        <w:rPr>
          <w:rFonts w:hint="eastAsia" w:ascii="宋体" w:hAnsi="宋体" w:cs="宋体"/>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color w:val="000000"/>
                <w:sz w:val="24"/>
                <w:highlight w:val="none"/>
              </w:rPr>
            </w:pPr>
            <w:r>
              <w:rPr>
                <w:rFonts w:hint="eastAsia"/>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1、投标（响应）报价低于采购项目预算50%的，即投标（响应）报价&lt;采购项目预算×50%；</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2、投标（响应）报价低于采购项目最高限价45%的，即投 标（响应）报价&lt;采购项目最高限价×45%；</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3、评审委员会认定的供应商报价过低、有可能影响产品质 量或者不能诚信履约的其他情形。</w:t>
            </w:r>
            <w:r>
              <w:rPr>
                <w:rFonts w:hint="eastAsia"/>
                <w:color w:val="000000"/>
                <w:sz w:val="24"/>
                <w:highlight w:val="none"/>
              </w:rPr>
            </w:r>
            <w:r/>
          </w:p>
          <w:p>
            <w:pPr>
              <w:pStyle w:val="1072"/>
              <w:jc w:val="left"/>
              <w:widowControl/>
              <w:rPr>
                <w:rFonts w:hint="eastAsia" w:ascii="宋体" w:hAnsi="宋体" w:cs="宋体"/>
                <w:color w:val="000000"/>
                <w:sz w:val="24"/>
                <w:highlight w:val="none"/>
              </w:rPr>
            </w:pPr>
            <w:r>
              <w:rPr>
                <w:rFonts w:hint="eastAsia"/>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70"/>
      <w:r/>
      <w:bookmarkEnd w:id="771"/>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7" w:name="_Toc142311048"/>
      <w:r/>
      <w:bookmarkStart w:id="788" w:name="_Toc164608815"/>
      <w:r/>
      <w:bookmarkStart w:id="789" w:name="_Toc305158888"/>
      <w:r/>
      <w:bookmarkStart w:id="790" w:name="_Toc164229241"/>
      <w:r/>
      <w:bookmarkStart w:id="791" w:name="_Toc195842911"/>
      <w:r/>
      <w:bookmarkStart w:id="792" w:name="_Toc151193716"/>
      <w:r/>
      <w:bookmarkStart w:id="793" w:name="_Toc150774646"/>
      <w:r/>
      <w:bookmarkStart w:id="794" w:name="_Toc164351640"/>
      <w:r/>
      <w:bookmarkStart w:id="795" w:name="_Ref467307010"/>
      <w:r/>
      <w:bookmarkStart w:id="796" w:name="_Toc226965819"/>
      <w:r/>
      <w:bookmarkStart w:id="797" w:name="_Toc226309790"/>
      <w:r/>
      <w:bookmarkStart w:id="798" w:name="_Toc150480784"/>
      <w:r/>
      <w:bookmarkStart w:id="799" w:name="_Toc149720839"/>
      <w:r/>
      <w:bookmarkStart w:id="800" w:name="_Toc151193788"/>
      <w:r/>
      <w:bookmarkStart w:id="801" w:name="_Toc127161460"/>
      <w:r/>
      <w:bookmarkStart w:id="802" w:name="_Toc226965736"/>
      <w:r/>
      <w:bookmarkStart w:id="803" w:name="_Toc151190173"/>
      <w:r/>
      <w:bookmarkStart w:id="804" w:name="_Toc226337242"/>
      <w:r/>
      <w:bookmarkStart w:id="805" w:name="_Toc164229387"/>
      <w:r/>
      <w:bookmarkStart w:id="806" w:name="_Toc520356170"/>
      <w:r/>
      <w:bookmarkStart w:id="807" w:name="_Toc150774751"/>
      <w:r/>
      <w:bookmarkStart w:id="808" w:name="_Toc164608660"/>
      <w:r/>
      <w:bookmarkStart w:id="809" w:name="_Toc150509297"/>
      <w:r/>
      <w:bookmarkStart w:id="810" w:name="_Toc264969236"/>
      <w:r/>
      <w:bookmarkStart w:id="811" w:name="_Toc151193644"/>
      <w:r/>
      <w:bookmarkStart w:id="812" w:name="_Toc151193860"/>
      <w:r/>
      <w:bookmarkStart w:id="813" w:name="_Toc127151747"/>
      <w:r/>
      <w:bookmarkStart w:id="814" w:name="_Toc127151546"/>
      <w:r/>
      <w:bookmarkStart w:id="815" w:name="_Toc151193934"/>
      <w:r/>
      <w:bookmarkStart w:id="816" w:name="_Toc305158814"/>
      <w:r/>
      <w:bookmarkStart w:id="817" w:name="_Toc265228384"/>
      <w:r>
        <w:rPr>
          <w:rFonts w:hint="eastAsia" w:ascii="宋体" w:hAnsi="宋体" w:cs="宋体"/>
          <w:b/>
          <w:color w:val="000000"/>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2"/>
              <w:ind w:firstLine="28"/>
              <w:jc w:val="center"/>
              <w:rPr>
                <w:rFonts w:ascii="宋体" w:hAnsi="宋体" w:cs="宋体"/>
                <w:b/>
                <w:color w:val="000000"/>
                <w:sz w:val="24"/>
                <w:highlight w:val="none"/>
              </w:rPr>
            </w:pPr>
            <w:r>
              <w:rPr>
                <w:rFonts w:ascii="宋体" w:hAnsi="宋体" w:cs="宋体"/>
                <w:b/>
                <w:color w:val="000000"/>
                <w:sz w:val="24"/>
                <w:highlight w:val="none"/>
              </w:rPr>
              <w:t xml:space="preserve">序号</w:t>
            </w:r>
            <w:r>
              <w:rPr>
                <w:rFonts w:ascii="宋体" w:hAnsi="宋体" w:cs="宋体"/>
                <w:b/>
                <w:color w:val="000000"/>
                <w:sz w:val="24"/>
                <w:highlight w:val="none"/>
              </w:rPr>
            </w:r>
            <w:r/>
          </w:p>
        </w:tc>
        <w:tc>
          <w:tcPr>
            <w:tcW w:w="1462" w:type="dxa"/>
            <w:vAlign w:val="center"/>
            <w:textDirection w:val="lrTb"/>
            <w:noWrap w:val="false"/>
          </w:tcPr>
          <w:p>
            <w:pPr>
              <w:pStyle w:val="1072"/>
              <w:ind w:firstLine="28"/>
              <w:jc w:val="center"/>
              <w:rPr>
                <w:rFonts w:ascii="宋体" w:hAnsi="宋体" w:cs="宋体"/>
                <w:b/>
                <w:color w:val="000000"/>
                <w:sz w:val="24"/>
                <w:highlight w:val="none"/>
              </w:rPr>
            </w:pPr>
            <w:r>
              <w:rPr>
                <w:rFonts w:ascii="宋体" w:hAnsi="宋体" w:cs="宋体"/>
                <w:b/>
                <w:color w:val="000000"/>
                <w:sz w:val="24"/>
                <w:highlight w:val="none"/>
              </w:rPr>
              <w:t xml:space="preserve">评分因素</w:t>
            </w:r>
            <w:r>
              <w:rPr>
                <w:rFonts w:ascii="宋体" w:hAnsi="宋体" w:cs="宋体"/>
                <w:b/>
                <w:color w:val="000000"/>
                <w:sz w:val="24"/>
                <w:highlight w:val="none"/>
              </w:rPr>
            </w:r>
            <w:r/>
          </w:p>
        </w:tc>
        <w:tc>
          <w:tcPr>
            <w:tcW w:w="913" w:type="dxa"/>
            <w:vAlign w:val="center"/>
            <w:textDirection w:val="lrTb"/>
            <w:noWrap w:val="false"/>
          </w:tcPr>
          <w:p>
            <w:pPr>
              <w:pStyle w:val="1072"/>
              <w:ind w:firstLine="28"/>
              <w:jc w:val="center"/>
              <w:rPr>
                <w:rFonts w:ascii="宋体" w:hAnsi="宋体" w:cs="宋体"/>
                <w:b/>
                <w:color w:val="000000"/>
                <w:sz w:val="24"/>
                <w:highlight w:val="none"/>
              </w:rPr>
            </w:pPr>
            <w:r>
              <w:rPr>
                <w:rFonts w:ascii="宋体" w:hAnsi="宋体" w:cs="宋体"/>
                <w:b/>
                <w:color w:val="000000"/>
                <w:sz w:val="24"/>
                <w:highlight w:val="none"/>
              </w:rPr>
              <w:t xml:space="preserve">分值</w:t>
            </w:r>
            <w:r>
              <w:rPr>
                <w:rFonts w:ascii="宋体" w:hAnsi="宋体" w:cs="宋体"/>
                <w:b/>
                <w:color w:val="000000"/>
                <w:sz w:val="24"/>
                <w:highlight w:val="none"/>
              </w:rPr>
            </w:r>
            <w:r/>
          </w:p>
        </w:tc>
        <w:tc>
          <w:tcPr>
            <w:tcW w:w="3978" w:type="dxa"/>
            <w:vAlign w:val="center"/>
            <w:textDirection w:val="lrTb"/>
            <w:noWrap w:val="false"/>
          </w:tcPr>
          <w:p>
            <w:pPr>
              <w:pStyle w:val="1072"/>
              <w:ind w:firstLine="28"/>
              <w:jc w:val="center"/>
              <w:rPr>
                <w:rFonts w:ascii="宋体" w:hAnsi="宋体" w:cs="宋体"/>
                <w:b/>
                <w:color w:val="000000"/>
                <w:sz w:val="24"/>
                <w:highlight w:val="none"/>
              </w:rPr>
            </w:pPr>
            <w:r>
              <w:rPr>
                <w:rFonts w:ascii="宋体" w:hAnsi="宋体" w:cs="宋体"/>
                <w:b/>
                <w:color w:val="000000"/>
                <w:sz w:val="24"/>
                <w:highlight w:val="none"/>
              </w:rPr>
              <w:t xml:space="preserve">评分标准</w:t>
            </w:r>
            <w:r>
              <w:rPr>
                <w:rFonts w:ascii="宋体" w:hAnsi="宋体" w:cs="宋体"/>
                <w:b/>
                <w:color w:val="000000"/>
                <w:sz w:val="24"/>
                <w:highlight w:val="none"/>
              </w:rPr>
            </w:r>
            <w:r/>
          </w:p>
        </w:tc>
        <w:tc>
          <w:tcPr>
            <w:tcW w:w="2440" w:type="dxa"/>
            <w:vAlign w:val="center"/>
            <w:textDirection w:val="lrTb"/>
            <w:noWrap w:val="false"/>
          </w:tcPr>
          <w:p>
            <w:pPr>
              <w:pStyle w:val="1316"/>
              <w:spacing w:before="0" w:after="0" w:line="240" w:lineRule="auto"/>
              <w:rPr>
                <w:rFonts w:ascii="宋体" w:hAnsi="宋体" w:eastAsia="宋体" w:cs="宋体"/>
                <w:color w:val="000000"/>
                <w:szCs w:val="24"/>
                <w:highlight w:val="none"/>
              </w:rPr>
            </w:pPr>
            <w:r>
              <w:rPr>
                <w:rFonts w:ascii="宋体" w:hAnsi="宋体" w:eastAsia="宋体" w:cs="宋体"/>
                <w:color w:val="000000"/>
                <w:szCs w:val="24"/>
                <w:highlight w:val="none"/>
              </w:rPr>
              <w:t xml:space="preserve">说明</w:t>
            </w:r>
            <w:r>
              <w:rPr>
                <w:rFonts w:ascii="宋体" w:hAnsi="宋体" w:eastAsia="宋体" w:cs="宋体"/>
                <w:color w:val="000000"/>
                <w:szCs w:val="24"/>
                <w:highlight w:val="none"/>
              </w:rPr>
            </w:r>
            <w:r/>
          </w:p>
        </w:tc>
      </w:tr>
      <w:tr>
        <w:trPr>
          <w:trHeight w:val="631"/>
        </w:trPr>
        <w:tc>
          <w:tcPr>
            <w:tcW w:w="835" w:type="dxa"/>
            <w:vAlign w:val="center"/>
            <w:textDirection w:val="lrTb"/>
            <w:noWrap w:val="false"/>
          </w:tcPr>
          <w:p>
            <w:pPr>
              <w:pStyle w:val="1072"/>
              <w:ind w:firstLine="28"/>
              <w:jc w:val="center"/>
              <w:rPr>
                <w:rFonts w:ascii="宋体" w:hAnsi="宋体" w:cs="宋体"/>
                <w:b/>
                <w:color w:val="000000"/>
                <w:sz w:val="24"/>
                <w:highlight w:val="none"/>
              </w:rPr>
            </w:pPr>
            <w:r>
              <w:rPr>
                <w:rFonts w:ascii="宋体" w:hAnsi="宋体" w:cs="宋体"/>
                <w:bCs/>
                <w:color w:val="000000"/>
                <w:sz w:val="24"/>
                <w:highlight w:val="none"/>
              </w:rPr>
              <w:t xml:space="preserve">1</w:t>
            </w:r>
            <w:r>
              <w:rPr>
                <w:rFonts w:ascii="宋体" w:hAnsi="宋体" w:cs="宋体"/>
                <w:b/>
                <w:color w:val="000000"/>
                <w:sz w:val="24"/>
                <w:highlight w:val="none"/>
              </w:rPr>
            </w:r>
            <w:r/>
          </w:p>
        </w:tc>
        <w:tc>
          <w:tcPr>
            <w:tcW w:w="1462"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价格分</w:t>
            </w:r>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30</w:t>
            </w:r>
            <w:r>
              <w:rPr>
                <w:rFonts w:ascii="宋体" w:hAnsi="宋体" w:cs="宋体"/>
                <w:color w:val="000000"/>
                <w:sz w:val="24"/>
                <w:highlight w:val="none"/>
              </w:rPr>
            </w:r>
            <w:r/>
          </w:p>
        </w:tc>
        <w:tc>
          <w:tcPr>
            <w:tcW w:w="3978" w:type="dxa"/>
            <w:vAlign w:val="center"/>
            <w:textDirection w:val="lrTb"/>
            <w:noWrap w:val="false"/>
          </w:tcPr>
          <w:p>
            <w:pPr>
              <w:pStyle w:val="1072"/>
              <w:rPr>
                <w:rFonts w:ascii="宋体" w:hAnsi="宋体" w:cs="宋体"/>
                <w:color w:val="000000"/>
                <w:sz w:val="24"/>
                <w:highlight w:val="none"/>
              </w:rPr>
            </w:pPr>
            <w:r/>
            <w:bookmarkStart w:id="818" w:name="OLE_LINK30"/>
            <w:r>
              <w:rPr>
                <w:rFonts w:ascii="宋体" w:hAnsi="宋体" w:cs="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s="宋体"/>
                <w:color w:val="000000"/>
                <w:sz w:val="24"/>
                <w:highlight w:val="none"/>
              </w:rPr>
            </w:r>
            <w:r/>
          </w:p>
          <w:p>
            <w:pPr>
              <w:pStyle w:val="1072"/>
              <w:rPr>
                <w:rFonts w:ascii="宋体" w:hAnsi="宋体" w:cs="宋体"/>
                <w:color w:val="000000"/>
                <w:sz w:val="24"/>
                <w:highlight w:val="none"/>
              </w:rPr>
            </w:pPr>
            <w:r>
              <w:rPr>
                <w:rFonts w:ascii="宋体" w:hAnsi="宋体" w:cs="宋体"/>
                <w:color w:val="000000"/>
                <w:sz w:val="24"/>
                <w:highlight w:val="none"/>
              </w:rPr>
              <w:t xml:space="preserve">投标报价得分＝（评标基准价/投标报价）×分值。</w:t>
            </w:r>
            <w:bookmarkEnd w:id="818"/>
            <w:r>
              <w:rPr>
                <w:rFonts w:ascii="宋体" w:hAnsi="宋体" w:cs="宋体"/>
                <w:color w:val="000000"/>
                <w:sz w:val="24"/>
                <w:highlight w:val="none"/>
              </w:rPr>
            </w:r>
            <w:r/>
          </w:p>
        </w:tc>
        <w:tc>
          <w:tcPr>
            <w:tcW w:w="2440" w:type="dxa"/>
            <w:vAlign w:val="center"/>
            <w:textDirection w:val="lrTb"/>
            <w:noWrap w:val="false"/>
          </w:tcPr>
          <w:p>
            <w:pPr>
              <w:pStyle w:val="1072"/>
              <w:ind w:left="-38"/>
              <w:rPr>
                <w:rFonts w:ascii="宋体" w:hAnsi="宋体" w:cs="宋体"/>
                <w:color w:val="000000"/>
                <w:sz w:val="24"/>
                <w:highlight w:val="none"/>
              </w:rPr>
            </w:pPr>
            <w:r/>
            <w:bookmarkStart w:id="819" w:name="OLE_LINK31"/>
            <w:r>
              <w:rPr>
                <w:rFonts w:ascii="宋体" w:hAnsi="宋体" w:cs="宋体"/>
                <w:color w:val="000000"/>
                <w:sz w:val="24"/>
                <w:highlight w:val="none"/>
              </w:rPr>
              <w:t xml:space="preserve">此处投标报价指经过报价修正，及因落实政府采购政策进行价格调整后的报价，详见第三章《评标方法和评标标准》2.4及2.5。</w:t>
            </w:r>
            <w:bookmarkEnd w:id="819"/>
            <w:r>
              <w:rPr>
                <w:rFonts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2</w:t>
            </w:r>
            <w:r>
              <w:rPr>
                <w:rFonts w:ascii="宋体" w:hAnsi="宋体" w:cs="宋体"/>
                <w:color w:val="000000"/>
                <w:sz w:val="24"/>
                <w:highlight w:val="none"/>
              </w:rPr>
            </w:r>
            <w:r/>
          </w:p>
        </w:tc>
        <w:tc>
          <w:tcPr>
            <w:tcW w:w="1462"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主观分</w:t>
            </w:r>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w:t>
            </w:r>
            <w:r>
              <w:rPr>
                <w:rFonts w:ascii="宋体" w:hAnsi="宋体" w:eastAsia="宋体" w:cs="宋体"/>
                <w:color w:val="000000"/>
                <w:sz w:val="24"/>
                <w:highlight w:val="none"/>
                <w:lang w:val="en-US" w:eastAsia="zh-CN"/>
              </w:rPr>
            </w:r>
            <w:r/>
          </w:p>
        </w:tc>
        <w:tc>
          <w:tcPr>
            <w:tcW w:w="3978" w:type="dxa"/>
            <w:vAlign w:val="center"/>
            <w:textDirection w:val="lrTb"/>
            <w:noWrap w:val="false"/>
          </w:tcPr>
          <w:p>
            <w:pPr>
              <w:pStyle w:val="1072"/>
              <w:spacing w:line="360" w:lineRule="exact"/>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pStyle w:val="1072"/>
              <w:jc w:val="left"/>
              <w:widowControl/>
              <w:rPr>
                <w:rFonts w:ascii="宋体" w:hAnsi="宋体" w:cs="宋体"/>
                <w:color w:val="000000"/>
                <w:sz w:val="24"/>
                <w:highlight w:val="none"/>
              </w:rPr>
            </w:pPr>
            <w:r>
              <w:rPr>
                <w:rFonts w:ascii="宋体" w:hAnsi="宋体" w:cs="宋体"/>
                <w:color w:val="000000"/>
                <w:sz w:val="24"/>
                <w:highlight w:val="none"/>
              </w:rPr>
              <w:t xml:space="preserve">2.1</w:t>
            </w:r>
            <w:r>
              <w:rPr>
                <w:rFonts w:ascii="宋体" w:hAnsi="宋体" w:cs="宋体"/>
                <w:color w:val="000000"/>
                <w:sz w:val="24"/>
                <w:highlight w:val="none"/>
              </w:rPr>
            </w:r>
            <w:r/>
          </w:p>
        </w:tc>
        <w:tc>
          <w:tcPr>
            <w:tcW w:w="1462" w:type="dxa"/>
            <w:vAlign w:val="center"/>
            <w:textDirection w:val="lrTb"/>
            <w:noWrap w:val="false"/>
          </w:tcPr>
          <w:p>
            <w:pPr>
              <w:pStyle w:val="1072"/>
              <w:jc w:val="center"/>
              <w:spacing w:line="360" w:lineRule="exact"/>
              <w:widowControl/>
              <w:tabs>
                <w:tab w:val="left" w:pos="1200" w:leader="none"/>
              </w:tabs>
              <w:rPr>
                <w:rFonts w:ascii="宋体" w:hAnsi="宋体" w:cs="宋体"/>
                <w:color w:val="000000"/>
                <w:sz w:val="24"/>
                <w:highlight w:val="none"/>
              </w:rPr>
            </w:pPr>
            <w:r/>
            <w:bookmarkStart w:id="820" w:name="OLE_LINK43"/>
            <w:r>
              <w:rPr>
                <w:rFonts w:ascii="宋体" w:hAnsi="宋体" w:cs="宋体"/>
                <w:color w:val="000000"/>
                <w:sz w:val="24"/>
                <w:highlight w:val="none"/>
              </w:rPr>
              <w:t xml:space="preserve">项目实施方案</w:t>
            </w:r>
            <w:bookmarkEnd w:id="820"/>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3978" w:type="dxa"/>
            <w:vAlign w:val="center"/>
            <w:textDirection w:val="lrTb"/>
            <w:noWrap w:val="false"/>
          </w:tcPr>
          <w:p>
            <w:pPr>
              <w:pStyle w:val="1072"/>
              <w:spacing w:line="360" w:lineRule="exact"/>
              <w:rPr>
                <w:rFonts w:ascii="宋体" w:hAnsi="宋体" w:cs="宋体"/>
                <w:color w:val="000000"/>
                <w:sz w:val="24"/>
                <w:highlight w:val="none"/>
              </w:rPr>
            </w:pPr>
            <w:r/>
            <w:bookmarkStart w:id="821" w:name="OLE_LINK44"/>
            <w:r>
              <w:rPr>
                <w:rFonts w:ascii="宋体" w:hAnsi="宋体" w:cs="宋体"/>
                <w:color w:val="000000"/>
                <w:sz w:val="24"/>
                <w:highlight w:val="none"/>
              </w:rPr>
              <w:t xml:space="preserve">根据</w:t>
            </w:r>
            <w:r>
              <w:rPr>
                <w:rFonts w:ascii="宋体" w:hAnsi="宋体" w:cs="宋体"/>
                <w:color w:val="000000"/>
                <w:sz w:val="24"/>
                <w:highlight w:val="none"/>
                <w:lang w:bidi="ar"/>
              </w:rPr>
              <w:t xml:space="preserve">投标人</w:t>
            </w:r>
            <w:r>
              <w:rPr>
                <w:rFonts w:ascii="宋体" w:hAnsi="宋体" w:cs="宋体"/>
                <w:color w:val="000000"/>
                <w:sz w:val="24"/>
                <w:highlight w:val="none"/>
              </w:rPr>
              <w:t xml:space="preserve">提供的项目实施方案内容的完整性及进度计划安排的合理性进行打分，包括但不限于</w:t>
            </w:r>
            <w:r>
              <w:rPr>
                <w:rFonts w:ascii="宋体" w:hAnsi="宋体" w:cs="宋体"/>
                <w:color w:val="000000"/>
                <w:sz w:val="24"/>
                <w:highlight w:val="none"/>
                <w:lang w:bidi="ar"/>
              </w:rPr>
              <w:t xml:space="preserve">投标人</w:t>
            </w:r>
            <w:r>
              <w:rPr>
                <w:rFonts w:ascii="宋体" w:hAnsi="宋体" w:cs="宋体"/>
                <w:color w:val="000000"/>
                <w:sz w:val="24"/>
                <w:highlight w:val="none"/>
              </w:rPr>
              <w:t xml:space="preserve">如何在成交后有效地组织技术和人员力量，按时保质地完成供货、安装验收等。</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ascii="宋体" w:hAnsi="宋体" w:cs="宋体"/>
                <w:color w:val="000000"/>
                <w:sz w:val="24"/>
                <w:highlight w:val="none"/>
              </w:rPr>
              <w:t xml:space="preserve">实施方案内容完整、进度计划安排合理、优于采购人需求的得</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ascii="宋体" w:hAnsi="宋体" w:cs="宋体"/>
                <w:color w:val="000000"/>
                <w:sz w:val="24"/>
                <w:highlight w:val="none"/>
              </w:rPr>
              <w:t xml:space="preserve">实施方案内容较完整、进度计划安排较合理、满足采购人需求的得</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ascii="宋体" w:hAnsi="宋体" w:cs="宋体"/>
                <w:color w:val="000000"/>
                <w:sz w:val="24"/>
                <w:highlight w:val="none"/>
              </w:rPr>
              <w:t xml:space="preserve">实施方案内容较少、进度计划安排不合理、不能很好满足采购人需求的得1分；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ascii="宋体" w:hAnsi="宋体" w:cs="宋体"/>
                <w:color w:val="000000"/>
                <w:sz w:val="24"/>
                <w:highlight w:val="none"/>
              </w:rPr>
              <w:t xml:space="preserve">不提供不得分。</w:t>
            </w:r>
            <w:bookmarkEnd w:id="821"/>
            <w:r>
              <w:rPr>
                <w:rFonts w:ascii="宋体" w:hAnsi="宋体" w:cs="宋体"/>
                <w:color w:val="000000"/>
                <w:sz w:val="24"/>
                <w:highlight w:val="none"/>
              </w:rPr>
            </w:r>
            <w:r/>
          </w:p>
        </w:tc>
        <w:tc>
          <w:tcPr>
            <w:tcW w:w="2440" w:type="dxa"/>
            <w:vAlign w:val="center"/>
            <w:textDirection w:val="lrTb"/>
            <w:noWrap w:val="false"/>
          </w:tcPr>
          <w:p>
            <w:pPr>
              <w:pStyle w:val="1072"/>
              <w:jc w:val="left"/>
              <w:widowControl/>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pStyle w:val="1072"/>
              <w:jc w:val="left"/>
              <w:widowControl/>
              <w:rPr>
                <w:rFonts w:ascii="宋体" w:hAnsi="宋体" w:cs="宋体"/>
                <w:color w:val="000000"/>
                <w:sz w:val="24"/>
                <w:highlight w:val="none"/>
              </w:rPr>
            </w:pPr>
            <w:r>
              <w:rPr>
                <w:rFonts w:ascii="宋体" w:hAnsi="宋体" w:cs="宋体"/>
                <w:color w:val="000000"/>
                <w:sz w:val="24"/>
                <w:highlight w:val="none"/>
              </w:rPr>
              <w:t xml:space="preserve">2.2</w:t>
            </w:r>
            <w:r>
              <w:rPr>
                <w:rFonts w:ascii="宋体" w:hAnsi="宋体" w:cs="宋体"/>
                <w:color w:val="000000"/>
                <w:sz w:val="24"/>
                <w:highlight w:val="none"/>
              </w:rPr>
            </w:r>
            <w:r/>
          </w:p>
        </w:tc>
        <w:tc>
          <w:tcPr>
            <w:tcW w:w="1462" w:type="dxa"/>
            <w:vAlign w:val="center"/>
            <w:textDirection w:val="lrTb"/>
            <w:noWrap w:val="false"/>
          </w:tcPr>
          <w:p>
            <w:pPr>
              <w:pStyle w:val="1250"/>
              <w:jc w:val="center"/>
              <w:spacing w:line="360" w:lineRule="exact"/>
              <w:rPr>
                <w:rFonts w:ascii="宋体" w:hAnsi="宋体" w:cs="宋体"/>
                <w:color w:val="000000"/>
                <w:highlight w:val="none"/>
              </w:rPr>
            </w:pPr>
            <w:r/>
            <w:bookmarkStart w:id="822" w:name="OLE_LINK45"/>
            <w:r>
              <w:rPr>
                <w:rFonts w:ascii="宋体" w:hAnsi="宋体" w:cs="宋体"/>
                <w:color w:val="000000"/>
                <w:highlight w:val="none"/>
              </w:rPr>
              <w:t xml:space="preserve">培训方案</w:t>
            </w:r>
            <w:bookmarkEnd w:id="822"/>
            <w:r>
              <w:rPr>
                <w:rFonts w:ascii="宋体" w:hAnsi="宋体" w:cs="宋体"/>
                <w:color w:val="000000"/>
                <w:highlight w:val="none"/>
              </w:rPr>
            </w:r>
            <w:r/>
          </w:p>
        </w:tc>
        <w:tc>
          <w:tcPr>
            <w:tcW w:w="913"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5</w:t>
            </w:r>
            <w:r>
              <w:rPr>
                <w:rFonts w:ascii="宋体" w:hAnsi="宋体" w:cs="宋体"/>
                <w:color w:val="000000"/>
                <w:sz w:val="24"/>
                <w:highlight w:val="none"/>
              </w:rPr>
            </w:r>
            <w:r/>
          </w:p>
        </w:tc>
        <w:tc>
          <w:tcPr>
            <w:tcW w:w="3978" w:type="dxa"/>
            <w:vAlign w:val="center"/>
            <w:textDirection w:val="lrTb"/>
            <w:noWrap w:val="false"/>
          </w:tcPr>
          <w:p>
            <w:pPr>
              <w:pStyle w:val="1250"/>
              <w:spacing w:line="360" w:lineRule="exact"/>
              <w:rPr>
                <w:rFonts w:ascii="宋体" w:hAnsi="宋体" w:cs="宋体"/>
                <w:color w:val="000000"/>
                <w:highlight w:val="none"/>
              </w:rPr>
            </w:pPr>
            <w:r/>
            <w:bookmarkStart w:id="823" w:name="OLE_LINK46"/>
            <w:r>
              <w:rPr>
                <w:rFonts w:ascii="宋体" w:hAnsi="宋体" w:cs="宋体"/>
                <w:color w:val="000000"/>
                <w:highlight w:val="none"/>
                <w:lang w:bidi="ar"/>
              </w:rPr>
              <w:t xml:space="preserve">投标人</w:t>
            </w:r>
            <w:r>
              <w:rPr>
                <w:rFonts w:ascii="宋体" w:hAnsi="宋体" w:cs="宋体"/>
                <w:color w:val="000000"/>
                <w:highlight w:val="none"/>
              </w:rPr>
              <w:t xml:space="preserve">培训方案情况比较：包括培训步骤、培训计划、培训记录表等。</w:t>
            </w:r>
            <w:r>
              <w:rPr>
                <w:rFonts w:ascii="宋体" w:hAnsi="宋体" w:cs="宋体"/>
                <w:color w:val="000000"/>
                <w:highlight w:val="none"/>
              </w:rPr>
            </w:r>
            <w:r/>
          </w:p>
          <w:p>
            <w:pPr>
              <w:pStyle w:val="1072"/>
              <w:spacing w:line="300" w:lineRule="exact"/>
              <w:rPr>
                <w:rFonts w:ascii="宋体" w:hAnsi="宋体" w:cs="宋体"/>
                <w:color w:val="000000"/>
                <w:sz w:val="24"/>
                <w:highlight w:val="none"/>
              </w:rPr>
            </w:pPr>
            <w:r>
              <w:rPr>
                <w:rFonts w:ascii="宋体" w:hAnsi="宋体" w:cs="宋体"/>
                <w:color w:val="000000"/>
                <w:sz w:val="24"/>
                <w:highlight w:val="none"/>
              </w:rPr>
              <w:t xml:space="preserve">培训方案详细具体，可行性高，优于项目需求的得5分；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ascii="宋体" w:hAnsi="宋体" w:cs="宋体"/>
                <w:color w:val="000000"/>
                <w:sz w:val="24"/>
                <w:highlight w:val="none"/>
              </w:rPr>
              <w:t xml:space="preserve">培训方案较为详细具体，可行性较高，满足项目需求的得3分；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ascii="宋体" w:hAnsi="宋体" w:cs="宋体"/>
                <w:color w:val="000000"/>
                <w:sz w:val="24"/>
                <w:highlight w:val="none"/>
              </w:rPr>
              <w:t xml:space="preserve">培训方案不够详细具体，可行性较低，不能完全满足项目需求的得1分；</w:t>
            </w:r>
            <w:r>
              <w:rPr>
                <w:rFonts w:ascii="宋体" w:hAnsi="宋体" w:cs="宋体"/>
                <w:color w:val="000000"/>
                <w:sz w:val="24"/>
                <w:highlight w:val="none"/>
              </w:rPr>
            </w:r>
            <w:r/>
          </w:p>
          <w:p>
            <w:pPr>
              <w:pStyle w:val="1250"/>
              <w:spacing w:line="360" w:lineRule="exact"/>
              <w:rPr>
                <w:rFonts w:ascii="宋体" w:hAnsi="宋体" w:cs="宋体"/>
                <w:color w:val="000000"/>
                <w:highlight w:val="none"/>
              </w:rPr>
            </w:pPr>
            <w:r>
              <w:rPr>
                <w:rFonts w:ascii="宋体" w:hAnsi="宋体" w:cs="宋体"/>
                <w:color w:val="000000"/>
                <w:highlight w:val="none"/>
              </w:rPr>
              <w:t xml:space="preserve">不提供不得分。</w:t>
            </w:r>
            <w:bookmarkEnd w:id="823"/>
            <w:r>
              <w:rPr>
                <w:rFonts w:ascii="宋体" w:hAnsi="宋体" w:cs="宋体"/>
                <w:color w:val="000000"/>
                <w:highlight w:val="none"/>
              </w:rPr>
            </w:r>
            <w:r/>
          </w:p>
        </w:tc>
        <w:tc>
          <w:tcPr>
            <w:tcW w:w="2440" w:type="dxa"/>
            <w:vAlign w:val="center"/>
            <w:textDirection w:val="lrTb"/>
            <w:noWrap w:val="false"/>
          </w:tcPr>
          <w:p>
            <w:pPr>
              <w:pStyle w:val="1072"/>
              <w:jc w:val="left"/>
              <w:widowControl/>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pStyle w:val="1072"/>
              <w:jc w:val="lef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2.3</w:t>
            </w:r>
            <w:r>
              <w:rPr>
                <w:rFonts w:ascii="宋体" w:hAnsi="宋体" w:eastAsia="宋体" w:cs="宋体"/>
                <w:color w:val="000000"/>
                <w:sz w:val="24"/>
                <w:highlight w:val="none"/>
                <w:lang w:val="en-US" w:eastAsia="zh-CN"/>
              </w:rPr>
            </w:r>
            <w:r/>
          </w:p>
        </w:tc>
        <w:tc>
          <w:tcPr>
            <w:tcW w:w="1462" w:type="dxa"/>
            <w:vAlign w:val="center"/>
            <w:textDirection w:val="lrTb"/>
            <w:noWrap w:val="false"/>
          </w:tcPr>
          <w:p>
            <w:pPr>
              <w:pStyle w:val="1250"/>
              <w:jc w:val="center"/>
              <w:spacing w:line="360" w:lineRule="exact"/>
              <w:rPr>
                <w:rFonts w:ascii="宋体" w:hAnsi="宋体" w:eastAsia="宋体" w:cs="宋体"/>
                <w:color w:val="000000"/>
                <w:highlight w:val="none"/>
              </w:rPr>
            </w:pPr>
            <w:r>
              <w:rPr>
                <w:rFonts w:hint="eastAsia" w:ascii="宋体" w:hAnsi="宋体" w:eastAsia="宋体" w:cs="宋体"/>
                <w:color w:val="000000"/>
                <w:highlight w:val="none"/>
              </w:rPr>
              <w:t xml:space="preserve">产品质量保障方案</w:t>
            </w:r>
            <w:r>
              <w:rPr>
                <w:rFonts w:ascii="宋体" w:hAnsi="宋体" w:eastAsia="宋体" w:cs="宋体"/>
                <w:color w:val="000000"/>
                <w:highlight w:val="none"/>
              </w:rPr>
            </w:r>
            <w:r/>
          </w:p>
        </w:tc>
        <w:tc>
          <w:tcPr>
            <w:tcW w:w="913" w:type="dxa"/>
            <w:vAlign w:val="center"/>
            <w:textDirection w:val="lrTb"/>
            <w:noWrap w:val="false"/>
          </w:tcPr>
          <w:p>
            <w:pPr>
              <w:pStyle w:val="1250"/>
              <w:jc w:val="center"/>
              <w:spacing w:line="360" w:lineRule="exact"/>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r>
            <w:r/>
          </w:p>
        </w:tc>
        <w:tc>
          <w:tcPr>
            <w:tcW w:w="3978" w:type="dxa"/>
            <w:vAlign w:val="center"/>
            <w:textDirection w:val="lrTb"/>
            <w:noWrap w:val="false"/>
          </w:tcPr>
          <w:p>
            <w:pPr>
              <w:pStyle w:val="1250"/>
              <w:jc w:val="left"/>
              <w:spacing w:line="360" w:lineRule="exact"/>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rPr>
              <w:t xml:space="preserve">投标人提供产品质量保障方案</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en-US" w:eastAsia="zh-CN"/>
              </w:rPr>
              <w:t xml:space="preserve">包括</w:t>
            </w:r>
            <w:r>
              <w:rPr>
                <w:rFonts w:hint="eastAsia" w:ascii="宋体" w:hAnsi="宋体" w:eastAsia="宋体" w:cs="宋体"/>
                <w:color w:val="000000"/>
                <w:highlight w:val="none"/>
                <w:lang w:val="zh-CN"/>
              </w:rPr>
              <w:t xml:space="preserve">货物质量保证</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货物检验标准、货物来源渠道等</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eastAsia="zh-CN"/>
              </w:rPr>
            </w:r>
            <w:r/>
          </w:p>
          <w:p>
            <w:pPr>
              <w:pStyle w:val="1250"/>
              <w:jc w:val="left"/>
              <w:spacing w:line="360" w:lineRule="exact"/>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ascii="宋体" w:hAnsi="宋体" w:eastAsia="宋体" w:cs="宋体"/>
                <w:color w:val="000000"/>
                <w:highlight w:val="none"/>
              </w:rPr>
            </w:r>
            <w:r/>
          </w:p>
        </w:tc>
        <w:tc>
          <w:tcPr>
            <w:tcW w:w="2440" w:type="dxa"/>
            <w:vAlign w:val="center"/>
            <w:textDirection w:val="lrTb"/>
            <w:noWrap w:val="false"/>
          </w:tcPr>
          <w:p>
            <w:pPr>
              <w:pStyle w:val="1072"/>
              <w:jc w:val="left"/>
              <w:widowControl/>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pStyle w:val="1072"/>
              <w:jc w:val="left"/>
              <w:widowControl/>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462" w:type="dxa"/>
            <w:vAlign w:val="center"/>
            <w:textDirection w:val="lrTb"/>
            <w:noWrap w:val="false"/>
          </w:tcPr>
          <w:p>
            <w:pPr>
              <w:pStyle w:val="1072"/>
              <w:jc w:val="left"/>
              <w:widowControl/>
              <w:rPr>
                <w:rFonts w:ascii="宋体" w:hAnsi="宋体" w:cs="宋体"/>
                <w:color w:val="000000"/>
                <w:sz w:val="24"/>
                <w:highlight w:val="none"/>
              </w:rPr>
            </w:pPr>
            <w:r/>
            <w:bookmarkStart w:id="824" w:name="OLE_LINK47"/>
            <w:r>
              <w:rPr>
                <w:rFonts w:ascii="宋体" w:hAnsi="宋体" w:cs="宋体"/>
                <w:color w:val="000000"/>
                <w:sz w:val="24"/>
                <w:highlight w:val="none"/>
              </w:rPr>
              <w:t xml:space="preserve">售后服务管理体系方案</w:t>
            </w:r>
            <w:bookmarkEnd w:id="824"/>
            <w:r>
              <w:rPr>
                <w:rFonts w:ascii="宋体" w:hAnsi="宋体" w:cs="宋体"/>
                <w:color w:val="000000"/>
                <w:sz w:val="24"/>
                <w:highlight w:val="none"/>
              </w:rPr>
            </w:r>
            <w:r/>
          </w:p>
        </w:tc>
        <w:tc>
          <w:tcPr>
            <w:tcW w:w="913" w:type="dxa"/>
            <w:vAlign w:val="center"/>
            <w:textDirection w:val="lrTb"/>
            <w:noWrap w:val="false"/>
          </w:tcPr>
          <w:p>
            <w:pPr>
              <w:pStyle w:val="1072"/>
              <w:jc w:val="center"/>
              <w:widowControl/>
              <w:rPr>
                <w:rFonts w:ascii="宋体" w:hAnsi="宋体" w:cs="宋体"/>
                <w:color w:val="000000"/>
                <w:sz w:val="24"/>
                <w:highlight w:val="none"/>
              </w:rPr>
            </w:pPr>
            <w:r>
              <w:rPr>
                <w:rFonts w:ascii="宋体" w:hAnsi="宋体" w:cs="宋体"/>
                <w:color w:val="000000"/>
                <w:sz w:val="24"/>
                <w:highlight w:val="none"/>
              </w:rPr>
              <w:t xml:space="preserve">5</w:t>
            </w:r>
            <w:r>
              <w:rPr>
                <w:rFonts w:ascii="宋体" w:hAnsi="宋体" w:cs="宋体"/>
                <w:color w:val="000000"/>
                <w:sz w:val="24"/>
                <w:highlight w:val="none"/>
              </w:rPr>
            </w:r>
            <w:r/>
          </w:p>
        </w:tc>
        <w:tc>
          <w:tcPr>
            <w:tcW w:w="3978" w:type="dxa"/>
            <w:vAlign w:val="center"/>
            <w:textDirection w:val="lrTb"/>
            <w:noWrap w:val="false"/>
          </w:tcPr>
          <w:p>
            <w:pPr>
              <w:pStyle w:val="1072"/>
              <w:spacing w:line="300" w:lineRule="exact"/>
              <w:rPr>
                <w:rFonts w:ascii="宋体" w:hAnsi="宋体" w:cs="宋体"/>
                <w:color w:val="000000"/>
                <w:sz w:val="24"/>
                <w:highlight w:val="none"/>
              </w:rPr>
            </w:pPr>
            <w:r/>
            <w:bookmarkStart w:id="825" w:name="OLE_LINK48"/>
            <w:r>
              <w:rPr>
                <w:rFonts w:ascii="宋体" w:hAnsi="宋体" w:cs="宋体"/>
                <w:color w:val="000000"/>
                <w:sz w:val="24"/>
                <w:highlight w:val="none"/>
              </w:rPr>
              <w:t xml:space="preserve">针对本项目制定的售后服务管理体系方案，包括售后服务人员、服务机制、响应时间、故障解决等内容的合理性和可行性。</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ascii="宋体" w:hAnsi="宋体" w:cs="宋体"/>
                <w:color w:val="000000"/>
                <w:sz w:val="24"/>
                <w:highlight w:val="none"/>
              </w:rPr>
              <w:t xml:space="preserve">售后服务方案完整合理，可行性高，优于项目需求的得5分；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ascii="宋体" w:hAnsi="宋体" w:cs="宋体"/>
                <w:color w:val="000000"/>
                <w:sz w:val="24"/>
                <w:highlight w:val="none"/>
              </w:rPr>
              <w:t xml:space="preserve">售后服务方案较为完整合理，可行性较高，满足项目需求的得3分；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ascii="宋体" w:hAnsi="宋体" w:cs="宋体"/>
                <w:color w:val="000000"/>
                <w:sz w:val="24"/>
                <w:highlight w:val="none"/>
              </w:rPr>
              <w:t xml:space="preserve">售后服务方案不够完整合理，可行性较低，不能完全满足项目需求的得1分；</w:t>
            </w:r>
            <w:r>
              <w:rPr>
                <w:rFonts w:ascii="宋体" w:hAnsi="宋体" w:cs="宋体"/>
                <w:color w:val="000000"/>
                <w:sz w:val="24"/>
                <w:highlight w:val="none"/>
              </w:rPr>
            </w:r>
            <w:r/>
          </w:p>
          <w:p>
            <w:pPr>
              <w:pStyle w:val="1250"/>
              <w:spacing w:line="360" w:lineRule="exact"/>
              <w:rPr>
                <w:rFonts w:ascii="宋体" w:hAnsi="宋体" w:cs="宋体"/>
                <w:color w:val="000000"/>
                <w:highlight w:val="none"/>
              </w:rPr>
            </w:pPr>
            <w:r>
              <w:rPr>
                <w:rFonts w:ascii="宋体" w:hAnsi="宋体" w:cs="宋体"/>
                <w:color w:val="000000"/>
                <w:highlight w:val="none"/>
              </w:rPr>
              <w:t xml:space="preserve">不提供不得分。</w:t>
            </w:r>
            <w:bookmarkEnd w:id="825"/>
            <w:r>
              <w:rPr>
                <w:rFonts w:ascii="宋体" w:hAnsi="宋体" w:cs="宋体"/>
                <w:color w:val="000000"/>
                <w:highlight w:val="none"/>
              </w:rPr>
            </w:r>
            <w:r/>
          </w:p>
        </w:tc>
        <w:tc>
          <w:tcPr>
            <w:tcW w:w="2440" w:type="dxa"/>
            <w:vAlign w:val="center"/>
            <w:textDirection w:val="lrTb"/>
            <w:noWrap w:val="false"/>
          </w:tcPr>
          <w:p>
            <w:pPr>
              <w:pStyle w:val="1072"/>
              <w:jc w:val="left"/>
              <w:widowControl/>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pStyle w:val="1072"/>
              <w:jc w:val="left"/>
              <w:widowControl/>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462" w:type="dxa"/>
            <w:vAlign w:val="center"/>
            <w:textDirection w:val="lrTb"/>
            <w:noWrap w:val="false"/>
          </w:tcPr>
          <w:p>
            <w:pPr>
              <w:pStyle w:val="1072"/>
              <w:jc w:val="center"/>
              <w:widowControl/>
              <w:rPr>
                <w:rFonts w:ascii="宋体" w:hAnsi="宋体" w:cs="宋体"/>
                <w:color w:val="000000"/>
                <w:sz w:val="24"/>
                <w:highlight w:val="none"/>
              </w:rPr>
            </w:pPr>
            <w:r/>
            <w:bookmarkStart w:id="826" w:name="OLE_LINK49"/>
            <w:r>
              <w:rPr>
                <w:rFonts w:ascii="宋体" w:hAnsi="宋体" w:cs="宋体"/>
                <w:color w:val="000000"/>
                <w:sz w:val="24"/>
                <w:highlight w:val="none"/>
              </w:rPr>
              <w:t xml:space="preserve">质保期满后维保收费及内容比较</w:t>
            </w:r>
            <w:bookmarkEnd w:id="826"/>
            <w:r>
              <w:rPr>
                <w:rFonts w:ascii="宋体" w:hAnsi="宋体" w:cs="宋体"/>
                <w:color w:val="000000"/>
                <w:sz w:val="24"/>
                <w:highlight w:val="none"/>
              </w:rPr>
            </w:r>
            <w:r/>
          </w:p>
        </w:tc>
        <w:tc>
          <w:tcPr>
            <w:tcW w:w="913" w:type="dxa"/>
            <w:vAlign w:val="center"/>
            <w:textDirection w:val="lrTb"/>
            <w:noWrap w:val="false"/>
          </w:tcPr>
          <w:p>
            <w:pPr>
              <w:pStyle w:val="1072"/>
              <w:jc w:val="center"/>
              <w:widowControl/>
              <w:rPr>
                <w:rFonts w:ascii="宋体" w:hAnsi="宋体" w:cs="宋体"/>
                <w:color w:val="000000"/>
                <w:sz w:val="24"/>
                <w:highlight w:val="none"/>
              </w:rPr>
            </w:pPr>
            <w:r>
              <w:rPr>
                <w:rFonts w:ascii="宋体" w:hAnsi="宋体" w:cs="宋体"/>
                <w:color w:val="000000"/>
                <w:sz w:val="24"/>
                <w:highlight w:val="none"/>
              </w:rPr>
              <w:t xml:space="preserve">5</w:t>
            </w:r>
            <w:r>
              <w:rPr>
                <w:rFonts w:ascii="宋体" w:hAnsi="宋体" w:cs="宋体"/>
                <w:color w:val="000000"/>
                <w:sz w:val="24"/>
                <w:highlight w:val="none"/>
              </w:rPr>
            </w:r>
            <w:r/>
          </w:p>
        </w:tc>
        <w:tc>
          <w:tcPr>
            <w:tcW w:w="3978" w:type="dxa"/>
            <w:vAlign w:val="center"/>
            <w:textDirection w:val="lrTb"/>
            <w:noWrap w:val="false"/>
          </w:tcPr>
          <w:p>
            <w:pPr>
              <w:pStyle w:val="1250"/>
              <w:spacing w:line="360" w:lineRule="exact"/>
              <w:rPr>
                <w:rFonts w:ascii="宋体" w:hAnsi="宋体" w:cs="宋体"/>
                <w:color w:val="000000"/>
                <w:highlight w:val="none"/>
              </w:rPr>
            </w:pPr>
            <w:r>
              <w:rPr>
                <w:rFonts w:ascii="宋体" w:hAnsi="宋体" w:cs="宋体"/>
                <w:color w:val="000000"/>
                <w:highlight w:val="none"/>
              </w:rPr>
              <w:t xml:space="preserve">质保期满后维保收费及内容比较：</w:t>
            </w:r>
            <w:r>
              <w:rPr>
                <w:rFonts w:ascii="宋体" w:hAnsi="宋体" w:cs="宋体"/>
                <w:color w:val="000000"/>
                <w:highlight w:val="none"/>
              </w:rPr>
            </w:r>
            <w:r/>
          </w:p>
          <w:p>
            <w:pPr>
              <w:pStyle w:val="1250"/>
              <w:spacing w:line="360" w:lineRule="exact"/>
              <w:rPr>
                <w:rFonts w:ascii="宋体" w:hAnsi="宋体" w:cs="宋体"/>
                <w:color w:val="000000"/>
                <w:highlight w:val="none"/>
              </w:rPr>
            </w:pPr>
            <w:r>
              <w:rPr>
                <w:rFonts w:ascii="宋体" w:hAnsi="宋体" w:cs="宋体"/>
                <w:color w:val="000000"/>
                <w:highlight w:val="none"/>
              </w:rPr>
              <w:t xml:space="preserve">提供零配件和维修备品备件的供应保障和维保期满后维保收费及维保方案内容完整清晰，优于项目需求的得5分；</w:t>
            </w:r>
            <w:r>
              <w:rPr>
                <w:rFonts w:ascii="宋体" w:hAnsi="宋体" w:cs="宋体"/>
                <w:color w:val="000000"/>
                <w:highlight w:val="none"/>
              </w:rPr>
            </w:r>
            <w:r/>
          </w:p>
          <w:p>
            <w:pPr>
              <w:pStyle w:val="1250"/>
              <w:spacing w:line="360" w:lineRule="exact"/>
              <w:rPr>
                <w:rFonts w:ascii="宋体" w:hAnsi="宋体" w:cs="宋体"/>
                <w:color w:val="000000"/>
                <w:highlight w:val="none"/>
              </w:rPr>
            </w:pPr>
            <w:r>
              <w:rPr>
                <w:rFonts w:ascii="宋体" w:hAnsi="宋体" w:cs="宋体"/>
                <w:color w:val="000000"/>
                <w:highlight w:val="none"/>
              </w:rPr>
              <w:t xml:space="preserve">零配件和维修备品备件的供应保障和维保期满后维保收费及维保方案内容较完整，满足项目需求的得3分；</w:t>
            </w:r>
            <w:r>
              <w:rPr>
                <w:rFonts w:ascii="宋体" w:hAnsi="宋体" w:cs="宋体"/>
                <w:color w:val="000000"/>
                <w:highlight w:val="none"/>
              </w:rPr>
            </w:r>
            <w:r/>
          </w:p>
          <w:p>
            <w:pPr>
              <w:pStyle w:val="1072"/>
              <w:spacing w:line="360" w:lineRule="exact"/>
              <w:rPr>
                <w:rFonts w:ascii="宋体" w:hAnsi="宋体" w:cs="宋体"/>
                <w:color w:val="000000"/>
                <w:highlight w:val="none"/>
              </w:rPr>
            </w:pPr>
            <w:r>
              <w:rPr>
                <w:rFonts w:ascii="宋体" w:hAnsi="宋体" w:cs="宋体"/>
                <w:color w:val="000000"/>
                <w:highlight w:val="none"/>
              </w:rPr>
              <w:t xml:space="preserve">零配件和维修备品备件的供应保障和维保期满后维保收费及维保方案内容介绍简单的得1分；</w:t>
            </w:r>
            <w:r>
              <w:rPr>
                <w:rFonts w:ascii="宋体" w:hAnsi="宋体" w:cs="宋体"/>
                <w:color w:val="000000"/>
                <w:highlight w:val="none"/>
              </w:rPr>
            </w:r>
            <w:r/>
          </w:p>
          <w:p>
            <w:pPr>
              <w:pStyle w:val="1250"/>
              <w:spacing w:line="360" w:lineRule="exact"/>
              <w:rPr>
                <w:rFonts w:ascii="宋体" w:hAnsi="宋体" w:cs="宋体"/>
                <w:color w:val="000000"/>
                <w:highlight w:val="none"/>
              </w:rPr>
            </w:pPr>
            <w:r>
              <w:rPr>
                <w:rFonts w:ascii="宋体" w:hAnsi="宋体" w:cs="宋体"/>
                <w:color w:val="000000"/>
                <w:highlight w:val="none"/>
              </w:rPr>
              <w:t xml:space="preserve">不提供不得分。</w:t>
            </w:r>
            <w:r>
              <w:rPr>
                <w:rFonts w:ascii="宋体" w:hAnsi="宋体" w:cs="宋体"/>
                <w:color w:val="000000"/>
                <w:highlight w:val="none"/>
              </w:rPr>
            </w:r>
            <w:r/>
          </w:p>
        </w:tc>
        <w:tc>
          <w:tcPr>
            <w:tcW w:w="2440" w:type="dxa"/>
            <w:vAlign w:val="center"/>
            <w:textDirection w:val="lrTb"/>
            <w:noWrap w:val="false"/>
          </w:tcPr>
          <w:p>
            <w:pPr>
              <w:pStyle w:val="1072"/>
              <w:jc w:val="left"/>
              <w:widowControl/>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1462" w:type="dxa"/>
            <w:vAlign w:val="center"/>
            <w:textDirection w:val="lrTb"/>
            <w:noWrap w:val="false"/>
          </w:tcPr>
          <w:p>
            <w:pPr>
              <w:pStyle w:val="1250"/>
              <w:jc w:val="center"/>
              <w:spacing w:line="360" w:lineRule="exact"/>
              <w:rPr>
                <w:rFonts w:ascii="宋体" w:hAnsi="宋体" w:cs="宋体"/>
                <w:color w:val="000000"/>
                <w:highlight w:val="none"/>
                <w:lang w:val="zh-CN"/>
              </w:rPr>
            </w:pPr>
            <w:r/>
            <w:bookmarkStart w:id="827" w:name="OLE_LINK50"/>
            <w:r>
              <w:rPr>
                <w:rFonts w:ascii="宋体" w:hAnsi="宋体" w:cs="宋体"/>
                <w:color w:val="000000"/>
                <w:highlight w:val="none"/>
                <w:lang w:val="zh-CN"/>
              </w:rPr>
              <w:t xml:space="preserve">投标设备整体配置</w:t>
            </w:r>
            <w:r>
              <w:rPr>
                <w:rFonts w:ascii="宋体" w:hAnsi="宋体" w:cs="宋体"/>
                <w:color w:val="000000"/>
                <w:highlight w:val="none"/>
                <w:lang w:val="zh-CN"/>
              </w:rPr>
            </w:r>
            <w:r/>
          </w:p>
          <w:p>
            <w:pPr>
              <w:pStyle w:val="1250"/>
              <w:jc w:val="center"/>
              <w:spacing w:line="360" w:lineRule="exact"/>
              <w:rPr>
                <w:rFonts w:ascii="宋体" w:hAnsi="宋体" w:cs="宋体"/>
                <w:color w:val="000000"/>
                <w:highlight w:val="none"/>
              </w:rPr>
            </w:pPr>
            <w:r>
              <w:rPr>
                <w:rFonts w:ascii="宋体" w:hAnsi="宋体" w:cs="宋体"/>
                <w:color w:val="000000"/>
                <w:highlight w:val="none"/>
                <w:lang w:val="zh-CN"/>
              </w:rPr>
              <w:t xml:space="preserve">情况比较</w:t>
            </w:r>
            <w:bookmarkEnd w:id="827"/>
            <w:r>
              <w:rPr>
                <w:rFonts w:ascii="宋体" w:hAnsi="宋体" w:cs="宋体"/>
                <w:color w:val="000000"/>
                <w:highlight w:val="none"/>
              </w:rPr>
            </w:r>
            <w:r/>
          </w:p>
        </w:tc>
        <w:tc>
          <w:tcPr>
            <w:tcW w:w="913"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5</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Fonts w:ascii="宋体" w:hAnsi="宋体" w:cs="宋体"/>
                <w:color w:val="000000"/>
                <w:sz w:val="24"/>
                <w:highlight w:val="none"/>
                <w:lang w:val="zh-CN"/>
              </w:rPr>
            </w:pPr>
            <w:r>
              <w:rPr>
                <w:rFonts w:ascii="宋体" w:hAnsi="宋体" w:cs="宋体"/>
                <w:color w:val="000000"/>
                <w:sz w:val="24"/>
                <w:highlight w:val="none"/>
                <w:lang w:val="zh-CN"/>
              </w:rPr>
              <w:t xml:space="preserve">投标设备整体配置选型情况综合比较，针对本项目的投标产品配置选型合理、先进，且与项目需求的吻合度高，得5分；</w:t>
            </w:r>
            <w:r>
              <w:rPr>
                <w:rFonts w:ascii="宋体" w:hAnsi="宋体" w:cs="宋体"/>
                <w:color w:val="000000"/>
                <w:sz w:val="24"/>
                <w:highlight w:val="none"/>
                <w:lang w:val="zh-CN"/>
              </w:rPr>
            </w:r>
            <w:r/>
          </w:p>
          <w:p>
            <w:pPr>
              <w:pStyle w:val="1072"/>
              <w:spacing w:line="360" w:lineRule="exact"/>
              <w:rPr>
                <w:rFonts w:ascii="宋体" w:hAnsi="宋体" w:cs="宋体"/>
                <w:color w:val="000000"/>
                <w:sz w:val="24"/>
                <w:highlight w:val="none"/>
                <w:lang w:val="zh-CN"/>
              </w:rPr>
            </w:pPr>
            <w:r>
              <w:rPr>
                <w:rFonts w:ascii="宋体" w:hAnsi="宋体" w:cs="宋体"/>
                <w:color w:val="000000"/>
                <w:sz w:val="24"/>
                <w:highlight w:val="none"/>
                <w:lang w:val="zh-CN"/>
              </w:rPr>
              <w:t xml:space="preserve">针对本项目的投标产品配置选型一般、且与项目需求的吻合度一般，得3分；</w:t>
            </w:r>
            <w:r>
              <w:rPr>
                <w:rFonts w:ascii="宋体" w:hAnsi="宋体" w:cs="宋体"/>
                <w:color w:val="000000"/>
                <w:sz w:val="24"/>
                <w:highlight w:val="none"/>
                <w:lang w:val="zh-CN"/>
              </w:rPr>
            </w:r>
            <w:r/>
          </w:p>
          <w:p>
            <w:pPr>
              <w:pStyle w:val="1072"/>
              <w:spacing w:line="360" w:lineRule="exact"/>
              <w:rPr>
                <w:rFonts w:ascii="宋体" w:hAnsi="宋体" w:cs="宋体"/>
                <w:color w:val="000000"/>
                <w:sz w:val="24"/>
                <w:highlight w:val="none"/>
                <w:lang w:val="zh-CN"/>
              </w:rPr>
            </w:pPr>
            <w:r>
              <w:rPr>
                <w:rFonts w:ascii="宋体" w:hAnsi="宋体" w:cs="宋体"/>
                <w:color w:val="000000"/>
                <w:sz w:val="24"/>
                <w:highlight w:val="none"/>
                <w:lang w:val="zh-CN"/>
              </w:rPr>
              <w:t xml:space="preserve">针对本项目的投标产品配置选型差、且与项目需求的吻合度差，得1分；</w:t>
            </w:r>
            <w:r>
              <w:rPr>
                <w:rFonts w:ascii="宋体" w:hAnsi="宋体" w:cs="宋体"/>
                <w:color w:val="000000"/>
                <w:sz w:val="24"/>
                <w:highlight w:val="none"/>
                <w:lang w:val="zh-CN"/>
              </w:rPr>
            </w:r>
            <w:r/>
          </w:p>
          <w:p>
            <w:pPr>
              <w:pStyle w:val="1072"/>
              <w:spacing w:line="360" w:lineRule="exact"/>
              <w:rPr>
                <w:rFonts w:ascii="宋体" w:hAnsi="宋体" w:cs="宋体"/>
                <w:color w:val="000000"/>
                <w:highlight w:val="none"/>
              </w:rPr>
            </w:pPr>
            <w:r>
              <w:rPr>
                <w:rFonts w:ascii="宋体" w:hAnsi="宋体" w:cs="宋体"/>
                <w:color w:val="000000"/>
                <w:highlight w:val="none"/>
                <w:lang w:val="zh-CN"/>
              </w:rPr>
              <w:t xml:space="preserve">其余不得分。</w:t>
            </w:r>
            <w:r>
              <w:rPr>
                <w:rFonts w:ascii="宋体" w:hAnsi="宋体" w:cs="宋体"/>
                <w:color w:val="000000"/>
                <w:highlight w:val="none"/>
              </w:rPr>
            </w:r>
            <w:r/>
          </w:p>
        </w:tc>
        <w:tc>
          <w:tcPr>
            <w:tcW w:w="2440"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3</w:t>
            </w:r>
            <w:r>
              <w:rPr>
                <w:rFonts w:ascii="宋体" w:hAnsi="宋体" w:cs="宋体"/>
                <w:color w:val="000000"/>
                <w:sz w:val="24"/>
                <w:highlight w:val="none"/>
              </w:rPr>
            </w:r>
            <w:r/>
          </w:p>
        </w:tc>
        <w:tc>
          <w:tcPr>
            <w:tcW w:w="1462"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客观分</w:t>
            </w:r>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rPr>
                <w:rFonts w:ascii="宋体" w:hAnsi="宋体" w:eastAsia="宋体" w:cs="宋体"/>
                <w:color w:val="000000"/>
                <w:sz w:val="24"/>
                <w:highlight w:val="none"/>
                <w:lang w:val="en-US" w:eastAsia="zh-CN"/>
              </w:rPr>
            </w:r>
            <w:r/>
          </w:p>
        </w:tc>
        <w:tc>
          <w:tcPr>
            <w:tcW w:w="3978" w:type="dxa"/>
            <w:vAlign w:val="center"/>
            <w:textDirection w:val="lrTb"/>
            <w:noWrap w:val="false"/>
          </w:tcPr>
          <w:p>
            <w:pPr>
              <w:pStyle w:val="1072"/>
              <w:spacing w:line="360" w:lineRule="exact"/>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3.1</w:t>
            </w:r>
            <w:r>
              <w:rPr>
                <w:rFonts w:ascii="宋体" w:hAnsi="宋体" w:cs="宋体"/>
                <w:color w:val="000000"/>
                <w:sz w:val="24"/>
                <w:highlight w:val="none"/>
              </w:rPr>
            </w:r>
            <w:r/>
          </w:p>
        </w:tc>
        <w:tc>
          <w:tcPr>
            <w:tcW w:w="1462" w:type="dxa"/>
            <w:vAlign w:val="center"/>
            <w:textDirection w:val="lrTb"/>
            <w:noWrap w:val="false"/>
          </w:tcPr>
          <w:p>
            <w:pPr>
              <w:pStyle w:val="1072"/>
              <w:ind w:firstLine="28"/>
              <w:jc w:val="center"/>
              <w:rPr>
                <w:rFonts w:ascii="宋体" w:hAnsi="宋体" w:cs="宋体"/>
                <w:color w:val="000000"/>
                <w:sz w:val="24"/>
                <w:highlight w:val="none"/>
              </w:rPr>
            </w:pPr>
            <w:r/>
            <w:bookmarkStart w:id="828" w:name="OLE_LINK32"/>
            <w:r>
              <w:rPr>
                <w:rFonts w:ascii="宋体" w:hAnsi="宋体" w:cs="宋体"/>
                <w:color w:val="000000"/>
                <w:sz w:val="24"/>
                <w:highlight w:val="none"/>
              </w:rPr>
              <w:t xml:space="preserve">技术部分</w:t>
            </w:r>
            <w:bookmarkEnd w:id="828"/>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35</w:t>
            </w:r>
            <w:r>
              <w:rPr>
                <w:rFonts w:ascii="宋体" w:hAnsi="宋体" w:eastAsia="宋体" w:cs="宋体"/>
                <w:color w:val="000000"/>
                <w:sz w:val="24"/>
                <w:highlight w:val="none"/>
                <w:lang w:val="en-US" w:eastAsia="zh-CN"/>
              </w:rPr>
            </w:r>
            <w:r/>
          </w:p>
        </w:tc>
        <w:tc>
          <w:tcPr>
            <w:tcW w:w="3978" w:type="dxa"/>
            <w:vAlign w:val="center"/>
            <w:textDirection w:val="lrTb"/>
            <w:noWrap w:val="false"/>
          </w:tcPr>
          <w:p>
            <w:pPr>
              <w:pStyle w:val="1072"/>
              <w:spacing w:line="360" w:lineRule="exact"/>
              <w:rPr>
                <w:rFonts w:ascii="宋体" w:hAnsi="宋体" w:cs="宋体"/>
                <w:color w:val="000000"/>
                <w:sz w:val="24"/>
                <w:highlight w:val="none"/>
              </w:rPr>
            </w:pPr>
            <w:r/>
            <w:bookmarkStart w:id="829" w:name="OLE_LINK33"/>
            <w:r>
              <w:rPr>
                <w:rFonts w:ascii="宋体" w:hAnsi="宋体" w:cs="宋体"/>
                <w:color w:val="000000"/>
                <w:sz w:val="24"/>
                <w:highlight w:val="none"/>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分；采购清单中带“▲”参数为重要参数，每有一项负偏离的，扣2分；其他参数为一般参数，每有一项负偏离的，扣</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分；扣完为止。</w:t>
            </w:r>
            <w:bookmarkEnd w:id="829"/>
            <w:r>
              <w:rPr>
                <w:rFonts w:ascii="宋体" w:hAnsi="宋体" w:cs="宋体"/>
                <w:color w:val="000000"/>
                <w:sz w:val="24"/>
                <w:highlight w:val="none"/>
              </w:rPr>
            </w:r>
            <w:r/>
          </w:p>
        </w:tc>
        <w:tc>
          <w:tcPr>
            <w:tcW w:w="2440" w:type="dxa"/>
            <w:vAlign w:val="center"/>
            <w:textDirection w:val="lrTb"/>
            <w:noWrap w:val="false"/>
          </w:tcPr>
          <w:p>
            <w:pPr>
              <w:pStyle w:val="1072"/>
              <w:spacing w:line="360" w:lineRule="auto"/>
              <w:widowControl/>
              <w:tabs>
                <w:tab w:val="left" w:pos="1200" w:leader="none"/>
              </w:tabs>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功能截图等技术支持性文件资料，未提供或提供的证明材料不符合要求视为负偏离。 </w:t>
            </w:r>
            <w:r>
              <w:rPr>
                <w:rFonts w:ascii="宋体" w:hAnsi="宋体" w:cs="宋体"/>
                <w:b/>
                <w:color w:val="000000"/>
                <w:sz w:val="24"/>
                <w:highlight w:val="none"/>
                <w:lang w:bidi="ar"/>
              </w:rPr>
            </w:r>
            <w:r/>
          </w:p>
          <w:p>
            <w:pPr>
              <w:pStyle w:val="1072"/>
              <w:spacing w:line="360" w:lineRule="auto"/>
              <w:widowControl/>
              <w:tabs>
                <w:tab w:val="left" w:pos="1200" w:leader="none"/>
              </w:tabs>
              <w:rPr>
                <w:rFonts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备注2：完全复制招标文件技术参数要求的，评标小组有权视为所有技术参数负偏离，文字描述、国标、定制尺寸的技术指标除外。</w:t>
            </w:r>
            <w:r>
              <w:rPr>
                <w:rFonts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3.2</w:t>
            </w:r>
            <w:r>
              <w:rPr>
                <w:rFonts w:ascii="宋体" w:hAnsi="宋体" w:cs="宋体"/>
                <w:color w:val="000000"/>
                <w:sz w:val="24"/>
                <w:highlight w:val="none"/>
              </w:rPr>
            </w:r>
            <w:r/>
          </w:p>
        </w:tc>
        <w:tc>
          <w:tcPr>
            <w:tcW w:w="1462" w:type="dxa"/>
            <w:vAlign w:val="center"/>
            <w:textDirection w:val="lrTb"/>
            <w:noWrap w:val="false"/>
          </w:tcPr>
          <w:p>
            <w:pPr>
              <w:pStyle w:val="1072"/>
              <w:ind w:firstLine="28"/>
              <w:jc w:val="center"/>
              <w:rPr>
                <w:rFonts w:ascii="宋体" w:hAnsi="宋体" w:cs="宋体"/>
                <w:color w:val="000000"/>
                <w:sz w:val="24"/>
                <w:highlight w:val="none"/>
              </w:rPr>
            </w:pPr>
            <w:r/>
            <w:bookmarkStart w:id="830" w:name="OLE_LINK35"/>
            <w:r>
              <w:rPr>
                <w:rFonts w:ascii="宋体" w:hAnsi="宋体" w:cs="宋体"/>
                <w:color w:val="000000"/>
                <w:sz w:val="24"/>
                <w:highlight w:val="none"/>
              </w:rPr>
              <w:t xml:space="preserve">业绩</w:t>
            </w:r>
            <w:bookmarkEnd w:id="830"/>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3978" w:type="dxa"/>
            <w:vAlign w:val="center"/>
            <w:textDirection w:val="lrTb"/>
            <w:noWrap w:val="false"/>
          </w:tcPr>
          <w:p>
            <w:pPr>
              <w:pStyle w:val="1250"/>
              <w:spacing w:line="360" w:lineRule="exact"/>
              <w:rPr>
                <w:rFonts w:ascii="宋体" w:hAnsi="宋体" w:cs="宋体"/>
                <w:b/>
                <w:color w:val="000000"/>
                <w:highlight w:val="none"/>
              </w:rPr>
            </w:pPr>
            <w:r/>
            <w:bookmarkStart w:id="831" w:name="OLE_LINK36"/>
            <w:r>
              <w:rPr>
                <w:rFonts w:ascii="宋体" w:hAnsi="宋体" w:cs="宋体"/>
                <w:color w:val="000000"/>
                <w:highlight w:val="none"/>
              </w:rPr>
              <w:t xml:space="preserve">提供</w:t>
            </w:r>
            <w:r>
              <w:rPr>
                <w:rFonts w:hint="eastAsia"/>
                <w:b/>
                <w:bCs/>
                <w:color w:val="000000"/>
                <w:highlight w:val="none"/>
                <w:lang w:val="en-US" w:eastAsia="zh-CN" w:bidi="ar"/>
              </w:rPr>
              <w:t xml:space="preserve">投标人</w:t>
            </w:r>
            <w:r>
              <w:rPr>
                <w:rFonts w:hint="eastAsia"/>
                <w:b/>
                <w:bCs/>
                <w:color w:val="000000"/>
                <w:highlight w:val="none"/>
                <w:lang w:val="zh-CN" w:eastAsia="zh-CN" w:bidi="ar"/>
              </w:rPr>
              <w:t xml:space="preserve">或者制造商(含制造商其他代理商)</w:t>
            </w:r>
            <w:r>
              <w:rPr>
                <w:rFonts w:ascii="宋体" w:hAnsi="宋体" w:cs="宋体"/>
                <w:color w:val="000000"/>
                <w:highlight w:val="none"/>
              </w:rPr>
              <w:t xml:space="preserve">自202</w:t>
            </w:r>
            <w:r>
              <w:rPr>
                <w:rFonts w:hint="eastAsia" w:ascii="宋体" w:hAnsi="宋体" w:cs="宋体"/>
                <w:color w:val="000000"/>
                <w:highlight w:val="none"/>
              </w:rPr>
              <w:t xml:space="preserve">2</w:t>
            </w:r>
            <w:r>
              <w:rPr>
                <w:rFonts w:ascii="宋体" w:hAnsi="宋体" w:cs="宋体"/>
                <w:color w:val="000000"/>
                <w:highlight w:val="none"/>
              </w:rPr>
              <w:t xml:space="preserve">年1月1日以来在国内的销售合同</w:t>
            </w:r>
            <w:r>
              <w:rPr>
                <w:rFonts w:ascii="宋体" w:hAnsi="宋体" w:cs="宋体"/>
                <w:b/>
                <w:color w:val="000000"/>
                <w:highlight w:val="none"/>
              </w:rPr>
              <w:t xml:space="preserve">（合同内产品必须与投标产品为同品牌同型号）</w:t>
            </w:r>
            <w:r>
              <w:rPr>
                <w:rFonts w:ascii="宋体" w:hAnsi="宋体" w:cs="宋体"/>
                <w:color w:val="000000"/>
                <w:highlight w:val="none"/>
              </w:rPr>
              <w:t xml:space="preserve">，每提供一份有效合同得</w:t>
            </w: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分，最多得</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分。</w:t>
            </w:r>
            <w:bookmarkEnd w:id="831"/>
            <w:r>
              <w:rPr>
                <w:rFonts w:ascii="宋体" w:hAnsi="宋体" w:cs="宋体"/>
                <w:b/>
                <w:color w:val="000000"/>
                <w:highlight w:val="none"/>
              </w:rPr>
            </w:r>
            <w:r/>
          </w:p>
        </w:tc>
        <w:tc>
          <w:tcPr>
            <w:tcW w:w="2440"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1、提供合同复印件</w:t>
            </w:r>
            <w:r>
              <w:rPr>
                <w:rFonts w:hint="eastAsia" w:ascii="宋体" w:hAnsi="宋体" w:cs="宋体"/>
                <w:color w:val="000000"/>
                <w:sz w:val="24"/>
                <w:highlight w:val="none"/>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2、时间以合同签订时间为准</w:t>
            </w:r>
            <w:r>
              <w:rPr>
                <w:rFonts w:hint="eastAsia" w:ascii="宋体" w:hAnsi="宋体" w:cs="宋体"/>
                <w:color w:val="000000"/>
                <w:sz w:val="24"/>
                <w:highlight w:val="none"/>
              </w:rPr>
            </w:r>
            <w:r/>
          </w:p>
          <w:p>
            <w:pPr>
              <w:pStyle w:val="1072"/>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3、合同甲方应为最终实际使用合同标的的一方。</w:t>
            </w:r>
            <w:r>
              <w:rPr>
                <w:rFonts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3.3</w:t>
            </w:r>
            <w:r>
              <w:rPr>
                <w:rFonts w:ascii="宋体" w:hAnsi="宋体" w:cs="宋体"/>
                <w:color w:val="000000"/>
                <w:sz w:val="24"/>
                <w:highlight w:val="none"/>
              </w:rPr>
            </w:r>
            <w:r/>
          </w:p>
        </w:tc>
        <w:tc>
          <w:tcPr>
            <w:tcW w:w="1462" w:type="dxa"/>
            <w:vAlign w:val="center"/>
            <w:textDirection w:val="lrTb"/>
            <w:noWrap w:val="false"/>
          </w:tcPr>
          <w:p>
            <w:pPr>
              <w:pStyle w:val="1072"/>
              <w:ind w:firstLine="28"/>
              <w:jc w:val="center"/>
              <w:rPr>
                <w:rFonts w:ascii="宋体" w:hAnsi="宋体" w:cs="宋体"/>
                <w:color w:val="000000"/>
                <w:sz w:val="24"/>
                <w:highlight w:val="none"/>
              </w:rPr>
            </w:pPr>
            <w:r/>
            <w:bookmarkStart w:id="832" w:name="OLE_LINK38"/>
            <w:r>
              <w:rPr>
                <w:rFonts w:ascii="宋体" w:hAnsi="宋体" w:cs="宋体"/>
                <w:color w:val="000000"/>
                <w:sz w:val="24"/>
                <w:highlight w:val="none"/>
              </w:rPr>
              <w:t xml:space="preserve">质保期</w:t>
            </w:r>
            <w:bookmarkEnd w:id="832"/>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3978" w:type="dxa"/>
            <w:vAlign w:val="center"/>
            <w:textDirection w:val="lrTb"/>
            <w:noWrap w:val="false"/>
          </w:tcPr>
          <w:p>
            <w:pPr>
              <w:pStyle w:val="1250"/>
              <w:spacing w:line="360" w:lineRule="exact"/>
              <w:rPr>
                <w:rFonts w:ascii="宋体" w:hAnsi="宋体" w:cs="宋体"/>
                <w:color w:val="000000"/>
                <w:highlight w:val="none"/>
              </w:rPr>
            </w:pPr>
            <w:r/>
            <w:bookmarkStart w:id="833" w:name="OLE_LINK39"/>
            <w:r>
              <w:rPr>
                <w:rFonts w:ascii="宋体" w:hAnsi="宋体" w:cs="宋体"/>
                <w:color w:val="000000"/>
                <w:highlight w:val="none"/>
              </w:rPr>
              <w:t xml:space="preserve">投标产品的免费保修期满足招标文件要求的基础上，免费质保期整体延长1年，得</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分。本项最高得</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分。</w:t>
            </w:r>
            <w:bookmarkEnd w:id="833"/>
            <w:r>
              <w:rPr>
                <w:rFonts w:ascii="宋体" w:hAnsi="宋体" w:cs="宋体"/>
                <w:color w:val="000000"/>
                <w:highlight w:val="none"/>
              </w:rPr>
            </w:r>
            <w:r/>
          </w:p>
        </w:tc>
        <w:tc>
          <w:tcPr>
            <w:tcW w:w="2440" w:type="dxa"/>
            <w:vAlign w:val="center"/>
            <w:textDirection w:val="lrTb"/>
            <w:noWrap w:val="false"/>
          </w:tcPr>
          <w:p>
            <w:pPr>
              <w:pStyle w:val="1072"/>
              <w:spacing w:line="360" w:lineRule="auto"/>
              <w:widowControl/>
              <w:tabs>
                <w:tab w:val="left" w:pos="1200" w:leader="none"/>
              </w:tabs>
              <w:rPr>
                <w:rFonts w:ascii="宋体" w:hAnsi="宋体" w:cs="宋体"/>
                <w:color w:val="000000"/>
                <w:sz w:val="24"/>
                <w:highlight w:val="none"/>
              </w:rPr>
            </w:pPr>
            <w:r/>
            <w:bookmarkStart w:id="834" w:name="OLE_LINK40"/>
            <w:r>
              <w:rPr>
                <w:rFonts w:ascii="宋体" w:hAnsi="宋体" w:cs="宋体"/>
                <w:color w:val="000000"/>
                <w:sz w:val="24"/>
                <w:highlight w:val="none"/>
              </w:rPr>
              <w:t xml:space="preserve">提供服务承诺书，签字盖章有效</w:t>
            </w:r>
            <w:bookmarkEnd w:id="834"/>
            <w:r>
              <w:rPr>
                <w:rFonts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3.4</w:t>
            </w:r>
            <w:r>
              <w:rPr>
                <w:rFonts w:ascii="宋体" w:hAnsi="宋体" w:cs="宋体"/>
                <w:color w:val="000000"/>
                <w:sz w:val="24"/>
                <w:highlight w:val="none"/>
              </w:rPr>
            </w:r>
            <w:r/>
          </w:p>
        </w:tc>
        <w:tc>
          <w:tcPr>
            <w:tcW w:w="1462" w:type="dxa"/>
            <w:vAlign w:val="center"/>
            <w:textDirection w:val="lrTb"/>
            <w:noWrap w:val="false"/>
          </w:tcPr>
          <w:p>
            <w:pPr>
              <w:pStyle w:val="1072"/>
              <w:ind w:firstLine="28"/>
              <w:jc w:val="center"/>
              <w:rPr>
                <w:rFonts w:ascii="宋体" w:hAnsi="宋体" w:cs="宋体"/>
                <w:color w:val="000000"/>
                <w:sz w:val="24"/>
                <w:highlight w:val="none"/>
              </w:rPr>
            </w:pPr>
            <w:r/>
            <w:bookmarkStart w:id="835" w:name="OLE_LINK41"/>
            <w:r>
              <w:rPr>
                <w:rFonts w:ascii="宋体" w:hAnsi="宋体" w:cs="宋体"/>
                <w:color w:val="000000"/>
                <w:sz w:val="24"/>
                <w:highlight w:val="none"/>
              </w:rPr>
              <w:t xml:space="preserve">政府采购政策功能性得分</w:t>
            </w:r>
            <w:bookmarkEnd w:id="835"/>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3978" w:type="dxa"/>
            <w:vAlign w:val="center"/>
            <w:textDirection w:val="lrTb"/>
            <w:noWrap w:val="false"/>
          </w:tcPr>
          <w:p>
            <w:pPr>
              <w:pStyle w:val="1250"/>
              <w:spacing w:line="360" w:lineRule="exact"/>
              <w:rPr>
                <w:rFonts w:ascii="宋体" w:hAnsi="宋体" w:cs="宋体"/>
                <w:color w:val="000000"/>
                <w:highlight w:val="none"/>
              </w:rPr>
            </w:pPr>
            <w:r/>
            <w:bookmarkStart w:id="836" w:name="OLE_LINK42"/>
            <w:r>
              <w:rPr>
                <w:rFonts w:ascii="宋体" w:hAnsi="宋体" w:cs="宋体"/>
                <w:color w:val="000000"/>
                <w:highlight w:val="none"/>
              </w:rPr>
              <w:t xml:space="preserve">投标主要产品属财政部和发改委公布的《节能产品政府采购品目清单》的，得</w:t>
            </w:r>
            <w:r>
              <w:rPr>
                <w:rFonts w:hint="eastAsia" w:ascii="宋体" w:hAnsi="宋体" w:cs="宋体"/>
                <w:color w:val="000000"/>
                <w:highlight w:val="none"/>
                <w:lang w:val="en-US" w:eastAsia="zh-CN"/>
              </w:rPr>
              <w:t xml:space="preserve">0.5</w:t>
            </w:r>
            <w:r>
              <w:rPr>
                <w:rFonts w:ascii="宋体" w:hAnsi="宋体" w:cs="宋体"/>
                <w:color w:val="000000"/>
                <w:highlight w:val="none"/>
              </w:rPr>
              <w:t xml:space="preserve">分；投标主要产品属财政部和国家环境保护部公布的《环境标志产品政府采购品目清单》的，得</w:t>
            </w:r>
            <w:r>
              <w:rPr>
                <w:rFonts w:hint="eastAsia" w:ascii="宋体" w:hAnsi="宋体" w:cs="宋体"/>
                <w:color w:val="000000"/>
                <w:highlight w:val="none"/>
                <w:lang w:val="en-US" w:eastAsia="zh-CN"/>
              </w:rPr>
              <w:t xml:space="preserve">0.5</w:t>
            </w:r>
            <w:r>
              <w:rPr>
                <w:rFonts w:ascii="宋体" w:hAnsi="宋体" w:cs="宋体"/>
                <w:color w:val="000000"/>
                <w:highlight w:val="none"/>
              </w:rPr>
              <w:t xml:space="preserve">分。提供国家确定的认证机构出具的、处于有效期之内的节能产品、环境标志产品认证证书。</w:t>
            </w:r>
            <w:bookmarkEnd w:id="836"/>
            <w:r>
              <w:rPr>
                <w:rFonts w:ascii="宋体" w:hAnsi="宋体" w:cs="宋体"/>
                <w:color w:val="000000"/>
                <w:highlight w:val="none"/>
              </w:rPr>
            </w:r>
            <w:r/>
          </w:p>
        </w:tc>
        <w:tc>
          <w:tcPr>
            <w:tcW w:w="2440" w:type="dxa"/>
            <w:vAlign w:val="center"/>
            <w:textDirection w:val="lrTb"/>
            <w:noWrap w:val="false"/>
          </w:tcPr>
          <w:p>
            <w:pPr>
              <w:pStyle w:val="1072"/>
              <w:spacing w:line="360" w:lineRule="auto"/>
              <w:widowControl/>
              <w:tabs>
                <w:tab w:val="left" w:pos="1200" w:leader="none"/>
              </w:tabs>
              <w:rPr>
                <w:rFonts w:ascii="宋体" w:hAnsi="宋体" w:cs="宋体"/>
                <w:color w:val="000000"/>
                <w:sz w:val="24"/>
                <w:highlight w:val="none"/>
              </w:rPr>
            </w:pPr>
            <w:r>
              <w:rPr>
                <w:rFonts w:ascii="宋体" w:hAnsi="宋体" w:cs="宋体"/>
                <w:color w:val="000000"/>
                <w:sz w:val="24"/>
                <w:highlight w:val="none"/>
              </w:rPr>
            </w:r>
            <w:r/>
          </w:p>
        </w:tc>
      </w:tr>
      <w:tr>
        <w:trPr/>
        <w:tc>
          <w:tcPr>
            <w:gridSpan w:val="2"/>
            <w:tcW w:w="2297"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合计</w:t>
            </w:r>
            <w:r>
              <w:rPr>
                <w:rFonts w:ascii="宋体" w:hAnsi="宋体" w:cs="宋体"/>
                <w:color w:val="000000"/>
                <w:sz w:val="24"/>
                <w:highlight w:val="none"/>
              </w:rPr>
            </w:r>
            <w:r/>
          </w:p>
        </w:tc>
        <w:tc>
          <w:tcPr>
            <w:tcW w:w="913"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t xml:space="preserve">100</w:t>
            </w:r>
            <w:r>
              <w:rPr>
                <w:rFonts w:ascii="宋体" w:hAnsi="宋体" w:cs="宋体"/>
                <w:color w:val="000000"/>
                <w:sz w:val="24"/>
                <w:highlight w:val="none"/>
              </w:rPr>
            </w:r>
            <w:r/>
          </w:p>
        </w:tc>
        <w:tc>
          <w:tcPr>
            <w:gridSpan w:val="2"/>
            <w:tcW w:w="6418" w:type="dxa"/>
            <w:vAlign w:val="center"/>
            <w:textDirection w:val="lrTb"/>
            <w:noWrap w:val="false"/>
          </w:tcPr>
          <w:p>
            <w:pPr>
              <w:pStyle w:val="1072"/>
              <w:rPr>
                <w:rFonts w:ascii="宋体" w:hAnsi="宋体" w:cs="宋体"/>
                <w:color w:val="000000"/>
                <w:sz w:val="24"/>
                <w:highlight w:val="none"/>
              </w:rPr>
            </w:pPr>
            <w:r>
              <w:rPr>
                <w:rFonts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37" w:name="_Toc99301424"/>
      <w:r>
        <w:rPr>
          <w:rFonts w:ascii="宋体" w:hAnsi="宋体"/>
          <w:b/>
          <w:color w:val="000000"/>
          <w:sz w:val="36"/>
          <w:szCs w:val="36"/>
          <w:highlight w:val="none"/>
        </w:rPr>
        <w:t xml:space="preserve">第五章   采购需求</w:t>
      </w:r>
      <w:bookmarkEnd w:id="837"/>
      <w:r>
        <w:rPr>
          <w:rFonts w:ascii="宋体" w:hAnsi="宋体"/>
          <w:b/>
          <w:color w:val="000000"/>
          <w:sz w:val="36"/>
          <w:szCs w:val="36"/>
          <w:highlight w:val="none"/>
        </w:rPr>
      </w:r>
      <w:r/>
    </w:p>
    <w:p>
      <w:pPr>
        <w:pStyle w:val="1072"/>
        <w:contextualSpacing/>
        <w:spacing w:line="360" w:lineRule="auto"/>
        <w:rPr>
          <w:rFonts w:ascii="宋体" w:hAnsi="宋体"/>
          <w:color w:val="000000"/>
          <w:sz w:val="24"/>
          <w:highlight w:val="none"/>
        </w:rPr>
      </w:pPr>
      <w:r>
        <w:rPr>
          <w:rFonts w:ascii="宋体" w:hAnsi="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本项目为常州市新北区公共卫生康复中心及突发公共卫生事件应急隔离场所建设所需</w:t>
      </w:r>
      <w:r>
        <w:rPr>
          <w:rFonts w:hint="eastAsia" w:ascii="宋体" w:hAnsi="宋体" w:cs="宋体"/>
          <w:color w:val="000000"/>
          <w:sz w:val="24"/>
          <w:highlight w:val="none"/>
          <w:lang w:eastAsia="zh-CN" w:bidi="ar"/>
        </w:rPr>
        <w:t xml:space="preserve">胃肠镜采购项目</w:t>
      </w:r>
      <w:r>
        <w:rPr>
          <w:rFonts w:hint="eastAsia" w:ascii="宋体" w:hAnsi="宋体" w:cs="宋体"/>
          <w:color w:val="000000"/>
          <w:sz w:val="24"/>
          <w:highlight w:val="none"/>
          <w:lang w:bidi="ar"/>
        </w:rPr>
        <w:t xml:space="preserve">，具体内容包括：设备的制造（采购）、运输、装卸、安装、调试、测试、售后服务、技术培训等，直至通过采购单位及其他相关部门的验收以及质量保修、免费维保等全部工作。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售后服务管理体系方案，包括售后服务人员、服务机制、响应时间、故障解决等内容的合理性和可行性。④质保期满后维保收费及内容比较，包括但不限于零配件和维修备品备件的供应保障和维保期满后维保收费及维保方案内容。⑤投标设备整体配置选型情况，包括但不限于产品</w:t>
      </w:r>
      <w:r>
        <w:rPr>
          <w:rFonts w:hint="eastAsia" w:ascii="宋体" w:hAnsi="宋体" w:cs="宋体"/>
          <w:color w:val="000000"/>
          <w:sz w:val="24"/>
          <w:highlight w:val="none"/>
          <w:lang w:val="zh-CN" w:bidi="ar"/>
        </w:rPr>
        <w:t xml:space="preserve">配置选型、与项目需求的吻合度等。</w:t>
      </w:r>
      <w:r>
        <w:rPr>
          <w:rFonts w:hint="eastAsia" w:ascii="宋体" w:hAnsi="宋体" w:cs="宋体"/>
          <w:color w:val="000000"/>
          <w:sz w:val="24"/>
          <w:highlight w:val="none"/>
          <w:lang w:val="en-US" w:eastAsia="zh-CN" w:bidi="ar"/>
        </w:rPr>
        <w:t xml:space="preserve">⑥</w:t>
      </w: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cs="宋体"/>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3065"/>
        <w:gridCol w:w="1977"/>
        <w:gridCol w:w="2663"/>
      </w:tblGrid>
      <w:tr>
        <w:trPr>
          <w:trHeight w:val="170"/>
        </w:trPr>
        <w:tc>
          <w:tcPr>
            <w:tcW w:w="852"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649"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1064"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1433"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852"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649" w:type="dxa"/>
            <w:vAlign w:val="center"/>
            <w:textDirection w:val="lrTb"/>
            <w:noWrap w:val="false"/>
          </w:tcPr>
          <w:p>
            <w:pPr>
              <w:pStyle w:val="1072"/>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常州市新北区公共卫生康复中心及突发公共卫生事件应急隔离场所建设所需</w:t>
            </w:r>
            <w:r>
              <w:rPr>
                <w:rFonts w:hint="eastAsia" w:ascii="宋体" w:hAnsi="宋体" w:cs="宋体"/>
                <w:color w:val="000000"/>
                <w:sz w:val="24"/>
                <w:highlight w:val="none"/>
                <w:lang w:eastAsia="zh-CN"/>
              </w:rPr>
              <w:t xml:space="preserve">胃肠镜采购项目</w:t>
            </w:r>
            <w:r>
              <w:rPr>
                <w:rFonts w:hint="eastAsia" w:ascii="宋体" w:hAnsi="宋体" w:eastAsia="宋体" w:cs="宋体"/>
                <w:color w:val="000000"/>
                <w:sz w:val="24"/>
                <w:highlight w:val="none"/>
                <w:lang w:eastAsia="zh-CN"/>
              </w:rPr>
            </w:r>
            <w:r/>
          </w:p>
        </w:tc>
        <w:tc>
          <w:tcPr>
            <w:tcW w:w="1064"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1433"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接受进口产品</w:t>
            </w:r>
            <w:r>
              <w:rPr>
                <w:rFonts w:hint="eastAsia" w:ascii="宋体" w:hAnsi="宋体" w:cs="宋体"/>
                <w:color w:val="000000"/>
                <w:sz w:val="24"/>
                <w:highlight w:val="none"/>
              </w:rPr>
            </w:r>
            <w:r/>
          </w:p>
        </w:tc>
      </w:tr>
    </w:tbl>
    <w:p>
      <w:pPr>
        <w:pStyle w:val="1072"/>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（一）主要配置清单</w:t>
      </w:r>
      <w:r>
        <w:rPr>
          <w:rFonts w:hint="eastAsia" w:ascii="宋体" w:hAnsi="宋体" w:cs="宋体"/>
          <w:b/>
          <w:color w:val="000000"/>
          <w:sz w:val="24"/>
          <w:highlight w:val="none"/>
          <w:lang w:bidi="ar"/>
        </w:rPr>
      </w:r>
      <w:r/>
    </w:p>
    <w:tbl>
      <w:tblPr>
        <w:tblW w:w="0" w:type="dxa"/>
        <w:tblInd w:w="-113" w:type="dxa"/>
        <w:tblLayout w:type="fixed"/>
        <w:tblCellMar>
          <w:left w:w="108" w:type="dxa"/>
          <w:top w:w="0" w:type="dxa"/>
          <w:right w:w="108" w:type="dxa"/>
          <w:bottom w:w="0" w:type="dxa"/>
        </w:tblCellMar>
        <w:tblLook w:val="04A0" w:firstRow="1" w:lastRow="0" w:firstColumn="1" w:lastColumn="0" w:noHBand="0" w:noVBand="1"/>
      </w:tblPr>
      <w:tblGrid>
        <w:gridCol w:w="2849"/>
        <w:gridCol w:w="2846"/>
        <w:gridCol w:w="2830"/>
      </w:tblGrid>
      <w:tr>
        <w:trPr>
          <w:trHeight w:val="589"/>
        </w:trPr>
        <w:tc>
          <w:tcPr>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pStyle w:val="1072"/>
              <w:jc w:val="center"/>
              <w:spacing w:line="360" w:lineRule="exact"/>
              <w:rPr>
                <w:rFonts w:ascii="宋体" w:hAnsi="宋体" w:cs="宋体"/>
                <w:b/>
                <w:bCs/>
                <w:color w:val="000000"/>
                <w:sz w:val="24"/>
                <w:szCs w:val="20"/>
                <w:highlight w:val="none"/>
                <w:lang w:bidi="ar"/>
              </w:rPr>
            </w:pPr>
            <w:r>
              <w:rPr>
                <w:rFonts w:ascii="宋体" w:hAnsi="宋体" w:cs="宋体"/>
                <w:b/>
                <w:bCs/>
                <w:color w:val="000000"/>
                <w:sz w:val="24"/>
                <w:szCs w:val="20"/>
                <w:highlight w:val="none"/>
                <w:lang w:bidi="ar"/>
              </w:rPr>
              <w:t xml:space="preserve">序号</w:t>
            </w:r>
            <w:r>
              <w:rPr>
                <w:rFonts w:ascii="宋体" w:hAnsi="宋体" w:cs="宋体"/>
                <w:b/>
                <w:bCs/>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72"/>
              <w:jc w:val="center"/>
              <w:spacing w:line="360" w:lineRule="exact"/>
              <w:rPr>
                <w:rFonts w:ascii="宋体" w:hAnsi="宋体" w:cs="宋体"/>
                <w:b/>
                <w:bCs/>
                <w:color w:val="000000"/>
                <w:sz w:val="24"/>
                <w:szCs w:val="20"/>
                <w:highlight w:val="none"/>
                <w:lang w:bidi="ar"/>
              </w:rPr>
            </w:pPr>
            <w:r>
              <w:rPr>
                <w:rFonts w:ascii="宋体" w:hAnsi="宋体" w:cs="宋体"/>
                <w:b/>
                <w:bCs/>
                <w:color w:val="000000"/>
                <w:sz w:val="24"/>
                <w:szCs w:val="20"/>
                <w:highlight w:val="none"/>
                <w:lang w:bidi="ar"/>
              </w:rPr>
              <w:t xml:space="preserve">名称</w:t>
            </w:r>
            <w:r>
              <w:rPr>
                <w:rFonts w:ascii="宋体" w:hAnsi="宋体" w:cs="宋体"/>
                <w:b/>
                <w:bCs/>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1072"/>
              <w:jc w:val="center"/>
              <w:spacing w:line="360" w:lineRule="exact"/>
              <w:rPr>
                <w:rFonts w:ascii="宋体" w:hAnsi="宋体" w:cs="宋体"/>
                <w:b/>
                <w:bCs/>
                <w:color w:val="000000"/>
                <w:sz w:val="24"/>
                <w:szCs w:val="20"/>
                <w:highlight w:val="none"/>
                <w:lang w:bidi="ar"/>
              </w:rPr>
            </w:pPr>
            <w:r>
              <w:rPr>
                <w:rFonts w:ascii="宋体" w:hAnsi="宋体" w:cs="宋体"/>
                <w:b/>
                <w:bCs/>
                <w:color w:val="000000"/>
                <w:sz w:val="24"/>
                <w:szCs w:val="20"/>
                <w:highlight w:val="none"/>
                <w:lang w:bidi="ar"/>
              </w:rPr>
              <w:t xml:space="preserve">数量</w:t>
            </w:r>
            <w:r>
              <w:rPr>
                <w:rFonts w:ascii="宋体" w:hAnsi="宋体" w:cs="宋体"/>
                <w:b/>
                <w:bCs/>
                <w:color w:val="000000"/>
                <w:sz w:val="24"/>
                <w:szCs w:val="20"/>
                <w:highlight w:val="none"/>
                <w:lang w:bidi="ar"/>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pStyle w:val="1072"/>
              <w:jc w:val="center"/>
              <w:spacing w:line="360" w:lineRule="exact"/>
              <w:rPr>
                <w:rFonts w:ascii="宋体" w:hAnsi="宋体" w:cs="宋体"/>
                <w:color w:val="000000"/>
                <w:sz w:val="24"/>
                <w:szCs w:val="20"/>
                <w:highlight w:val="none"/>
                <w:lang w:bidi="ar"/>
              </w:rPr>
            </w:pPr>
            <w:r>
              <w:rPr>
                <w:rFonts w:ascii="宋体" w:hAnsi="宋体" w:cs="宋体"/>
                <w:color w:val="000000"/>
                <w:sz w:val="24"/>
                <w:szCs w:val="20"/>
                <w:highlight w:val="none"/>
                <w:lang w:bidi="ar"/>
              </w:rPr>
              <w:t xml:space="preserve">1</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szCs w:val="22"/>
                <w:highlight w:val="none"/>
                <w:lang w:bidi="ar"/>
              </w:rPr>
              <w:t xml:space="preserve">图像处理装置</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1</w:t>
            </w:r>
            <w:r>
              <w:rPr>
                <w:rFonts w:ascii="宋体" w:hAnsi="宋体" w:cs="宋体"/>
                <w:color w:val="000000"/>
                <w:sz w:val="24"/>
                <w:szCs w:val="20"/>
                <w:highlight w:val="none"/>
                <w:lang w:bidi="ar"/>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pStyle w:val="1072"/>
              <w:jc w:val="center"/>
              <w:spacing w:line="360" w:lineRule="exact"/>
              <w:rPr>
                <w:rFonts w:ascii="宋体" w:hAnsi="宋体" w:cs="宋体"/>
                <w:color w:val="000000"/>
                <w:sz w:val="24"/>
                <w:szCs w:val="20"/>
                <w:highlight w:val="none"/>
                <w:lang w:bidi="ar"/>
              </w:rPr>
            </w:pPr>
            <w:r>
              <w:rPr>
                <w:rFonts w:ascii="宋体" w:hAnsi="宋体" w:cs="宋体"/>
                <w:color w:val="000000"/>
                <w:sz w:val="24"/>
                <w:szCs w:val="20"/>
                <w:highlight w:val="none"/>
                <w:lang w:bidi="ar"/>
              </w:rPr>
              <w:t xml:space="preserve">2</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szCs w:val="22"/>
                <w:highlight w:val="none"/>
                <w:lang w:bidi="ar"/>
              </w:rPr>
              <w:t xml:space="preserve">内窥镜冷光源</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1</w:t>
            </w:r>
            <w:r>
              <w:rPr>
                <w:rFonts w:ascii="宋体" w:hAnsi="宋体" w:cs="宋体"/>
                <w:color w:val="000000"/>
                <w:sz w:val="24"/>
                <w:szCs w:val="20"/>
                <w:highlight w:val="none"/>
                <w:lang w:bidi="ar"/>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pStyle w:val="1072"/>
              <w:jc w:val="center"/>
              <w:spacing w:line="360" w:lineRule="exact"/>
              <w:rPr>
                <w:rFonts w:ascii="宋体" w:hAnsi="宋体" w:cs="宋体"/>
                <w:color w:val="000000"/>
                <w:sz w:val="24"/>
                <w:szCs w:val="20"/>
                <w:highlight w:val="none"/>
                <w:lang w:bidi="ar"/>
              </w:rPr>
            </w:pPr>
            <w:r>
              <w:rPr>
                <w:rFonts w:ascii="宋体" w:hAnsi="宋体" w:cs="宋体"/>
                <w:color w:val="000000"/>
                <w:sz w:val="24"/>
                <w:szCs w:val="20"/>
                <w:highlight w:val="none"/>
                <w:lang w:bidi="ar"/>
              </w:rPr>
              <w:t xml:space="preserve">3</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电子上消化道检查镜</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2</w:t>
            </w:r>
            <w:r>
              <w:rPr>
                <w:rFonts w:ascii="宋体" w:hAnsi="宋体" w:cs="宋体"/>
                <w:color w:val="000000"/>
                <w:sz w:val="24"/>
                <w:szCs w:val="20"/>
                <w:highlight w:val="none"/>
                <w:lang w:bidi="ar"/>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pStyle w:val="1072"/>
              <w:jc w:val="center"/>
              <w:spacing w:line="360" w:lineRule="exact"/>
              <w:rPr>
                <w:rFonts w:ascii="宋体" w:hAnsi="宋体" w:cs="宋体"/>
                <w:color w:val="000000"/>
                <w:sz w:val="24"/>
                <w:szCs w:val="20"/>
                <w:highlight w:val="none"/>
                <w:lang w:bidi="ar"/>
              </w:rPr>
            </w:pPr>
            <w:r>
              <w:rPr>
                <w:rFonts w:ascii="宋体" w:hAnsi="宋体" w:cs="宋体"/>
                <w:color w:val="000000"/>
                <w:sz w:val="24"/>
                <w:szCs w:val="20"/>
                <w:highlight w:val="none"/>
                <w:lang w:bidi="ar"/>
              </w:rPr>
              <w:t xml:space="preserve">4</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电子上消化道治疗镜</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1</w:t>
            </w:r>
            <w:r>
              <w:rPr>
                <w:rFonts w:ascii="宋体" w:hAnsi="宋体" w:cs="宋体"/>
                <w:color w:val="000000"/>
                <w:sz w:val="24"/>
                <w:szCs w:val="20"/>
                <w:highlight w:val="none"/>
                <w:lang w:bidi="ar"/>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pStyle w:val="1072"/>
              <w:jc w:val="center"/>
              <w:spacing w:line="360" w:lineRule="exact"/>
              <w:rPr>
                <w:rFonts w:ascii="宋体" w:hAnsi="宋体" w:cs="宋体"/>
                <w:color w:val="000000"/>
                <w:sz w:val="24"/>
                <w:szCs w:val="20"/>
                <w:highlight w:val="none"/>
                <w:lang w:bidi="ar"/>
              </w:rPr>
            </w:pPr>
            <w:r>
              <w:rPr>
                <w:rFonts w:ascii="宋体" w:hAnsi="宋体" w:cs="宋体"/>
                <w:color w:val="000000"/>
                <w:sz w:val="24"/>
                <w:szCs w:val="20"/>
                <w:highlight w:val="none"/>
                <w:lang w:bidi="ar"/>
              </w:rPr>
              <w:t xml:space="preserve">5</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电子结肠内窥镜</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2</w:t>
            </w:r>
            <w:r>
              <w:rPr>
                <w:rFonts w:ascii="宋体" w:hAnsi="宋体" w:cs="宋体"/>
                <w:color w:val="000000"/>
                <w:sz w:val="24"/>
                <w:szCs w:val="20"/>
                <w:highlight w:val="none"/>
                <w:lang w:bidi="ar"/>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pStyle w:val="1072"/>
              <w:jc w:val="center"/>
              <w:spacing w:line="360" w:lineRule="exact"/>
              <w:rPr>
                <w:rFonts w:ascii="宋体" w:hAnsi="宋体" w:cs="宋体"/>
                <w:color w:val="000000"/>
                <w:sz w:val="24"/>
                <w:szCs w:val="20"/>
                <w:highlight w:val="none"/>
                <w:lang w:bidi="ar"/>
              </w:rPr>
            </w:pPr>
            <w:r>
              <w:rPr>
                <w:rFonts w:ascii="宋体" w:hAnsi="宋体" w:cs="宋体"/>
                <w:color w:val="000000"/>
                <w:sz w:val="24"/>
                <w:szCs w:val="20"/>
                <w:highlight w:val="none"/>
                <w:lang w:bidi="ar"/>
              </w:rPr>
              <w:t xml:space="preserve">6</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szCs w:val="22"/>
                <w:highlight w:val="none"/>
                <w:lang w:bidi="ar"/>
              </w:rPr>
              <w:t xml:space="preserve">内镜用送水泵</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1</w:t>
            </w:r>
            <w:r>
              <w:rPr>
                <w:rFonts w:ascii="宋体" w:hAnsi="宋体" w:cs="宋体"/>
                <w:color w:val="000000"/>
                <w:sz w:val="24"/>
                <w:szCs w:val="20"/>
                <w:highlight w:val="none"/>
                <w:lang w:bidi="ar"/>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2849" w:type="dxa"/>
            <w:vAlign w:val="center"/>
            <w:textDirection w:val="lrTb"/>
            <w:noWrap/>
          </w:tcPr>
          <w:p>
            <w:pPr>
              <w:pStyle w:val="1072"/>
              <w:jc w:val="center"/>
              <w:spacing w:line="360" w:lineRule="exact"/>
              <w:rPr>
                <w:rFonts w:ascii="宋体" w:hAnsi="宋体" w:cs="宋体"/>
                <w:color w:val="000000"/>
                <w:sz w:val="24"/>
                <w:szCs w:val="20"/>
                <w:highlight w:val="none"/>
                <w:lang w:bidi="ar"/>
              </w:rPr>
            </w:pPr>
            <w:r>
              <w:rPr>
                <w:rFonts w:ascii="宋体" w:hAnsi="宋体" w:cs="宋体"/>
                <w:color w:val="000000"/>
                <w:sz w:val="24"/>
                <w:szCs w:val="20"/>
                <w:highlight w:val="none"/>
                <w:lang w:bidi="ar"/>
              </w:rPr>
              <w:t xml:space="preserve">7</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46"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szCs w:val="22"/>
                <w:highlight w:val="none"/>
                <w:lang w:bidi="ar"/>
              </w:rPr>
              <w:t xml:space="preserve">内镜用二氧化碳泵</w:t>
            </w:r>
            <w:r>
              <w:rPr>
                <w:rFonts w:ascii="宋体" w:hAnsi="宋体" w:cs="宋体"/>
                <w:color w:val="000000"/>
                <w:sz w:val="24"/>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1072"/>
              <w:jc w:val="center"/>
              <w:widowControl/>
              <w:rPr>
                <w:rFonts w:ascii="宋体" w:hAnsi="宋体" w:cs="宋体"/>
                <w:color w:val="000000"/>
                <w:sz w:val="24"/>
                <w:szCs w:val="20"/>
                <w:highlight w:val="none"/>
                <w:lang w:bidi="ar"/>
              </w:rPr>
            </w:pPr>
            <w:r>
              <w:rPr>
                <w:rFonts w:ascii="宋体" w:hAnsi="宋体" w:cs="宋体"/>
                <w:color w:val="000000"/>
                <w:sz w:val="24"/>
                <w:highlight w:val="none"/>
                <w:lang w:bidi="ar"/>
              </w:rPr>
              <w:t xml:space="preserve">1</w:t>
            </w:r>
            <w:r>
              <w:rPr>
                <w:rFonts w:ascii="宋体" w:hAnsi="宋体" w:cs="宋体"/>
                <w:color w:val="000000"/>
                <w:sz w:val="24"/>
                <w:szCs w:val="20"/>
                <w:highlight w:val="none"/>
                <w:lang w:bidi="ar"/>
              </w:rPr>
            </w:r>
            <w:r/>
          </w:p>
        </w:tc>
      </w:tr>
    </w:tbl>
    <w:p>
      <w:pPr>
        <w:pStyle w:val="1072"/>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（二）技术参数</w:t>
      </w:r>
      <w:r>
        <w:rPr>
          <w:rFonts w:hint="eastAsia" w:ascii="宋体" w:hAnsi="宋体" w:cs="宋体"/>
          <w:b/>
          <w:color w:val="000000"/>
          <w:sz w:val="24"/>
          <w:highlight w:val="none"/>
          <w:lang w:bidi="ar"/>
        </w:rPr>
      </w:r>
      <w:r/>
    </w:p>
    <w:p>
      <w:pPr>
        <w:pStyle w:val="1326"/>
        <w:numPr>
          <w:ilvl w:val="1"/>
          <w:numId w:val="0"/>
        </w:numPr>
        <w:ind w:firstLine="482"/>
        <w:spacing w:line="360" w:lineRule="auto"/>
        <w:widowControl/>
        <w:tabs>
          <w:tab w:val="left" w:pos="1224" w:leader="none"/>
          <w:tab w:val="left" w:pos="1440" w:leader="none"/>
        </w:tabs>
        <w:rPr>
          <w:rFonts w:cs="宋体"/>
          <w:color w:val="000000"/>
          <w:highlight w:val="none"/>
        </w:rPr>
      </w:pPr>
      <w:r>
        <w:rPr>
          <w:rFonts w:cs="宋体"/>
          <w:color w:val="000000"/>
          <w:highlight w:val="none"/>
          <w:lang w:bidi="ar"/>
        </w:rPr>
        <w:t xml:space="preserve">1、图像处理装置</w:t>
      </w:r>
      <w:r>
        <w:rPr>
          <w:rFonts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1.1主机光源分体式设计，氙气冷光源；</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1.2具有数字信号及模拟信号输出功能；</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1.3支持模拟RGB、HD-SDI和DVI信号输出；</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1.4具备16：9和16：10的输出模式，支持HDTV监视器</w:t>
      </w:r>
      <w:bookmarkStart w:id="838" w:name="OLE_LINK8"/>
      <w:r>
        <w:rPr>
          <w:rFonts w:hint="eastAsia" w:ascii="宋体" w:hAnsi="宋体" w:eastAsia="宋体" w:cs="宋体"/>
          <w:color w:val="000000"/>
          <w:highlight w:val="none"/>
        </w:rPr>
        <w:t xml:space="preserve">输出信号</w:t>
      </w:r>
      <w:bookmarkEnd w:id="838"/>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1.5自适应色彩增强：根据内镜图像中的IHb值增强颜色的微小差异，三档可调；</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1.6彩虹色校正：RGB信号时间差引起的色彩偏差校正；</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1.7前面板设置白平衡按钮，可一键自动白平衡；</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1.8前面板设置光圈模式开关，可选择自动光圈模式；</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1.9测光模式：平均测光、峰值测光、自动测光三种模式；</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1.10色彩调节：RGB色彩调节，范围：±8档；</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1.11图像增强：具备构造强调及轮廓强调，≥3档可调；</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1.12可以根据图像明暗自动进行亮度补偿；</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1.13可以设定图像对比度：≥3档可调；</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1.14电子放大：可选择放大模式；</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1.15图像大小选择：通过键盘可以改变内镜图像的大小；</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1.16快速实时冻结：可截取冻结操作中最佳图片进行存储；</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1.17用户设置输入：可存储20位用户信息及设置；</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1.18患者数据输入：可以在术前输入≥50名患者的数据；</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1.19具有内镜信息记忆功能；</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1.20支持DV传输或USB转存数据；</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1.21具有特殊光成像功能。</w:t>
      </w:r>
      <w:r>
        <w:rPr>
          <w:rFonts w:hint="eastAsia" w:ascii="宋体" w:hAnsi="宋体" w:eastAsia="宋体" w:cs="宋体"/>
          <w:color w:val="000000"/>
          <w:highlight w:val="none"/>
        </w:rPr>
      </w:r>
      <w:r/>
    </w:p>
    <w:p>
      <w:pPr>
        <w:pStyle w:val="1326"/>
        <w:numPr>
          <w:ilvl w:val="1"/>
          <w:numId w:val="0"/>
        </w:numPr>
        <w:ind w:firstLine="482"/>
        <w:spacing w:line="360" w:lineRule="auto"/>
        <w:widowControl/>
        <w:tabs>
          <w:tab w:val="left" w:pos="1224" w:leader="none"/>
          <w:tab w:val="left" w:pos="1440" w:leader="none"/>
        </w:tabs>
        <w:rPr>
          <w:rFonts w:cs="宋体"/>
          <w:color w:val="000000"/>
          <w:highlight w:val="none"/>
        </w:rPr>
      </w:pPr>
      <w:r>
        <w:rPr>
          <w:rFonts w:cs="宋体"/>
          <w:color w:val="000000"/>
          <w:highlight w:val="none"/>
          <w:lang w:bidi="ar"/>
        </w:rPr>
        <w:t xml:space="preserve">2、内窥镜冷光源</w:t>
      </w:r>
      <w:r>
        <w:rPr>
          <w:rFonts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2.1自动亮度调整方法：伺服隔膜法；</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2.2自动曝光：≥17档；</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2.3气泵：横膈膜式气泵；</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2.4气泵压力：高、中、低、关四档调节；</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2.5检查灯功率：短弧氙灯≥300W；</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2.6灯泡寿命：≥500小时；</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2.7应急灯平均寿命：≥500小时；</w:t>
      </w:r>
      <w:r>
        <w:rPr>
          <w:rFonts w:hint="eastAsia" w:ascii="宋体" w:hAnsi="宋体" w:eastAsia="宋体" w:cs="宋体"/>
          <w:color w:val="000000"/>
          <w:highlight w:val="none"/>
        </w:rPr>
      </w:r>
      <w:r/>
    </w:p>
    <w:p>
      <w:pPr>
        <w:pStyle w:val="1327"/>
        <w:ind w:left="0" w:firstLine="480"/>
        <w:spacing w:before="0" w:line="360" w:lineRule="auto"/>
        <w:widowControl/>
        <w:tabs>
          <w:tab w:val="left" w:pos="1933"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2.8支持其他光学功能：</w:t>
      </w:r>
      <w:r>
        <w:rPr>
          <w:rFonts w:ascii="宋体" w:hAnsi="宋体" w:eastAsia="宋体" w:cs="宋体"/>
          <w:color w:val="000000"/>
          <w:highlight w:val="none"/>
        </w:rPr>
        <w:t xml:space="preserve">具有特殊光观察、自体荧光功能</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326"/>
        <w:numPr>
          <w:ilvl w:val="1"/>
          <w:numId w:val="0"/>
        </w:numPr>
        <w:ind w:firstLine="482"/>
        <w:spacing w:line="360" w:lineRule="auto"/>
        <w:widowControl/>
        <w:tabs>
          <w:tab w:val="left" w:pos="1224" w:leader="none"/>
          <w:tab w:val="left" w:pos="1440" w:leader="none"/>
        </w:tabs>
        <w:rPr>
          <w:rFonts w:cs="宋体"/>
          <w:color w:val="000000"/>
          <w:highlight w:val="none"/>
        </w:rPr>
      </w:pPr>
      <w:r>
        <w:rPr>
          <w:rFonts w:cs="宋体"/>
          <w:color w:val="000000"/>
          <w:highlight w:val="none"/>
        </w:rPr>
        <w:t xml:space="preserve">3、电子上消化道检查镜</w:t>
      </w:r>
      <w:r>
        <w:rPr>
          <w:rFonts w:cs="宋体"/>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3.1视野角度：0°（直视）；</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3.2视野范围：≥140°；</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3.3景深：≥3-100mm；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3.4弯曲角度：上≥210°,下≥90°，左≥100°，右≥100°；</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▲3.5先端部外径：≤8.9mm；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▲3.6插入部外径：≤8.9mm；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3.7有效长度：≤1030mm；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3.8全长：≤1350mm；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3.9最小可视距离：距先端≤3mm；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3.10钳道直径：≥2.8mm；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▲3.11短弯曲功能；</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3.12特殊光成像功能。</w:t>
      </w:r>
      <w:r>
        <w:rPr>
          <w:rFonts w:hint="eastAsia"/>
          <w:color w:val="000000"/>
          <w:highlight w:val="none"/>
        </w:rPr>
      </w:r>
      <w:r/>
    </w:p>
    <w:p>
      <w:pPr>
        <w:pStyle w:val="1133"/>
        <w:numPr>
          <w:ilvl w:val="1"/>
          <w:numId w:val="0"/>
        </w:numPr>
        <w:ind w:firstLine="482"/>
        <w:jc w:val="both"/>
        <w:spacing w:before="0" w:beforeAutospacing="0" w:after="0" w:afterAutospacing="0" w:line="360" w:lineRule="auto"/>
        <w:widowControl w:val="off"/>
        <w:tabs>
          <w:tab w:val="left" w:pos="1224" w:leader="none"/>
          <w:tab w:val="left" w:pos="1440" w:leader="none"/>
        </w:tabs>
        <w:rPr>
          <w:color w:val="000000"/>
          <w:highlight w:val="none"/>
        </w:rPr>
        <w:outlineLvl w:val="1"/>
      </w:pPr>
      <w:r>
        <w:rPr>
          <w:rFonts w:hint="eastAsia" w:cs="Times New Roman"/>
          <w:b/>
          <w:color w:val="000000"/>
          <w:highlight w:val="none"/>
          <w:lang w:bidi="ar"/>
        </w:rPr>
        <w:t xml:space="preserve">4、电子上消化道治疗镜</w:t>
      </w:r>
      <w:r>
        <w:rPr>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4.1视野角度：0°（直视）；</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4.2视野范围：≥ 140°；</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4.3景深：≥ 3-100mm；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4.4弯曲角度：上≥210°,下≥120°，左≥100°，右≥100°；</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4.5先端部外径：≤9.8mm；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4.6软性部外径：≤9.9mm；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4.7有效长度：≤1030mm；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4.8全长：≤1350mm；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4.9最小可视距离：距先端≤3mm；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4.10钳子管道内径：≥3.2mm；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▲4.11送气量：30cm³/s；</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4.12特殊光成像功能。</w:t>
      </w:r>
      <w:r>
        <w:rPr>
          <w:rFonts w:hint="eastAsia"/>
          <w:color w:val="000000"/>
          <w:highlight w:val="none"/>
        </w:rPr>
      </w:r>
      <w:r/>
    </w:p>
    <w:p>
      <w:pPr>
        <w:pStyle w:val="1133"/>
        <w:numPr>
          <w:ilvl w:val="1"/>
          <w:numId w:val="0"/>
        </w:numPr>
        <w:ind w:firstLine="482"/>
        <w:jc w:val="both"/>
        <w:spacing w:before="0" w:beforeAutospacing="0" w:after="0" w:afterAutospacing="0" w:line="360" w:lineRule="auto"/>
        <w:widowControl w:val="off"/>
        <w:tabs>
          <w:tab w:val="left" w:pos="1224" w:leader="none"/>
          <w:tab w:val="left" w:pos="1440" w:leader="none"/>
        </w:tabs>
        <w:rPr>
          <w:color w:val="000000"/>
          <w:highlight w:val="none"/>
        </w:rPr>
        <w:outlineLvl w:val="1"/>
      </w:pPr>
      <w:r>
        <w:rPr>
          <w:rFonts w:hint="eastAsia" w:cs="Times New Roman"/>
          <w:b/>
          <w:color w:val="000000"/>
          <w:highlight w:val="none"/>
          <w:lang w:bidi="ar"/>
        </w:rPr>
        <w:t xml:space="preserve">5、电子结肠内窥镜</w:t>
      </w:r>
      <w:r>
        <w:rPr>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5.1视野角度：0°（直视）；</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5.2视野角：≥170°；</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5.3景深：≥5-100mm；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5.4弯曲角度：上 ≥180°，下 ≥180°，左≥160°，右≥160°；</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5.5先端部外：≤12.2mm；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5.6插入部外径：≤12mm；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5.7有效长度：≥1330mm；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▲5.8全长：≥1650mm；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5.9最小可视距离：距先端≤3mm；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▲5.10钳子管道内径：≤3.2mm；</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▲5.11分布式照明技术：导光束≥3根</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5.12特殊光成像功能；</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5.13具有前向射水功能；</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5.14肠镜辅助插入技术。</w:t>
      </w:r>
      <w:r>
        <w:rPr>
          <w:rFonts w:hint="eastAsia"/>
          <w:color w:val="000000"/>
          <w:highlight w:val="none"/>
        </w:rPr>
      </w:r>
      <w:r/>
    </w:p>
    <w:p>
      <w:pPr>
        <w:pStyle w:val="1133"/>
        <w:numPr>
          <w:ilvl w:val="1"/>
          <w:numId w:val="0"/>
        </w:numPr>
        <w:ind w:firstLine="482"/>
        <w:jc w:val="both"/>
        <w:spacing w:before="0" w:beforeAutospacing="0" w:after="0" w:afterAutospacing="0" w:line="360" w:lineRule="auto"/>
        <w:widowControl w:val="off"/>
        <w:tabs>
          <w:tab w:val="left" w:pos="1224" w:leader="none"/>
          <w:tab w:val="left" w:pos="1440" w:leader="none"/>
        </w:tabs>
        <w:rPr>
          <w:color w:val="000000"/>
          <w:highlight w:val="none"/>
        </w:rPr>
        <w:outlineLvl w:val="1"/>
      </w:pPr>
      <w:r>
        <w:rPr>
          <w:rFonts w:hint="eastAsia"/>
          <w:b/>
          <w:color w:val="000000"/>
          <w:highlight w:val="none"/>
          <w:lang w:bidi="ar"/>
        </w:rPr>
        <w:t xml:space="preserve">6、内镜用送水泵</w:t>
      </w:r>
      <w:r>
        <w:rPr>
          <w:rFonts w:hint="eastAsia" w:cs="Times New Roman"/>
          <w:b/>
          <w:color w:val="000000"/>
          <w:highlight w:val="none"/>
          <w:lang w:bidi="ar"/>
        </w:rPr>
        <w:t xml:space="preserve">  </w:t>
      </w:r>
      <w:r>
        <w:rPr>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6.1电源式脚踏开关；</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6.2送水流量调节功能。</w:t>
      </w:r>
      <w:r>
        <w:rPr>
          <w:rFonts w:hint="eastAsia"/>
          <w:color w:val="000000"/>
          <w:highlight w:val="none"/>
        </w:rPr>
      </w:r>
      <w:r/>
    </w:p>
    <w:p>
      <w:pPr>
        <w:pStyle w:val="1133"/>
        <w:numPr>
          <w:ilvl w:val="1"/>
          <w:numId w:val="0"/>
        </w:numPr>
        <w:ind w:firstLine="482"/>
        <w:jc w:val="both"/>
        <w:spacing w:before="0" w:beforeAutospacing="0" w:after="0" w:afterAutospacing="0" w:line="360" w:lineRule="auto"/>
        <w:widowControl w:val="off"/>
        <w:tabs>
          <w:tab w:val="left" w:pos="1224" w:leader="none"/>
          <w:tab w:val="left" w:pos="1440" w:leader="none"/>
        </w:tabs>
        <w:rPr>
          <w:color w:val="000000"/>
          <w:highlight w:val="none"/>
        </w:rPr>
        <w:outlineLvl w:val="1"/>
      </w:pPr>
      <w:r>
        <w:rPr>
          <w:rFonts w:hint="eastAsia"/>
          <w:b/>
          <w:color w:val="000000"/>
          <w:highlight w:val="none"/>
          <w:lang w:bidi="ar"/>
        </w:rPr>
        <w:t xml:space="preserve">7、内镜用二氧化碳泵</w:t>
      </w:r>
      <w:r>
        <w:rPr>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7.1一键式开/关操作；</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7.2自动送气计时功能；</w:t>
      </w:r>
      <w:r>
        <w:rPr>
          <w:rFonts w:hint="eastAsia"/>
          <w:color w:val="000000"/>
          <w:highlight w:val="none"/>
        </w:rPr>
      </w:r>
      <w:r/>
    </w:p>
    <w:p>
      <w:pPr>
        <w:pStyle w:val="1133"/>
        <w:ind w:firstLine="480"/>
        <w:jc w:val="both"/>
        <w:spacing w:before="0" w:beforeAutospacing="0" w:after="0" w:afterAutospacing="0" w:line="360" w:lineRule="auto"/>
        <w:widowControl w:val="off"/>
        <w:tabs>
          <w:tab w:val="left" w:pos="1224" w:leader="none"/>
          <w:tab w:val="left" w:pos="1933" w:leader="none"/>
        </w:tabs>
        <w:rPr>
          <w:rFonts w:hint="eastAsia"/>
          <w:color w:val="000000"/>
          <w:highlight w:val="none"/>
        </w:rPr>
        <w:outlineLvl w:val="2"/>
      </w:pPr>
      <w:r>
        <w:rPr>
          <w:rFonts w:hint="eastAsia"/>
          <w:color w:val="000000"/>
          <w:highlight w:val="none"/>
          <w:lang w:bidi="ar"/>
        </w:rPr>
        <w:t xml:space="preserve">7.3送气流量调节功能；</w:t>
      </w:r>
      <w:r>
        <w:rPr>
          <w:rFonts w:hint="eastAsia"/>
          <w:color w:val="000000"/>
          <w:highlight w:val="none"/>
        </w:rPr>
      </w:r>
      <w:r/>
    </w:p>
    <w:p>
      <w:pPr>
        <w:pStyle w:val="1072"/>
        <w:ind w:firstLine="480"/>
        <w:jc w:val="left"/>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7.4最大送气压力45kPa。</w:t>
      </w:r>
      <w:r>
        <w:rPr>
          <w:rFonts w:hint="eastAsia" w:ascii="宋体" w:hAnsi="宋体" w:eastAsia="宋体" w:cs="宋体"/>
          <w:color w:val="000000"/>
          <w:sz w:val="24"/>
          <w:szCs w:val="24"/>
          <w:highlight w:val="none"/>
          <w:lang w:val="en-US" w:eastAsia="zh-CN"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bookmarkStart w:id="839" w:name="OLE_LINK6"/>
      <w:r>
        <w:rPr>
          <w:rFonts w:hint="eastAsia" w:ascii="宋体" w:hAnsi="宋体"/>
          <w:b/>
          <w:color w:val="000000"/>
          <w:sz w:val="24"/>
          <w:highlight w:val="none"/>
          <w:lang w:bidi="ar"/>
        </w:rPr>
        <w:t xml:space="preserve">本次报价还包括投标人办理与本货物相关的进口、运输、免税等手续所产生的费用。</w:t>
      </w:r>
      <w:bookmarkEnd w:id="839"/>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1、交货日期：合同签订后30天内完成合同范围内所有设备的供货、安装调试。</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八、质保期及售后服务</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（一）质保期：</w:t>
      </w:r>
      <w:r>
        <w:rPr>
          <w:rFonts w:hint="eastAsia" w:ascii="宋体" w:hAnsi="宋体" w:cs="宋体"/>
          <w:color w:val="000000"/>
          <w:sz w:val="24"/>
          <w:highlight w:val="none"/>
          <w:lang w:bidi="ar"/>
        </w:rPr>
        <w:t xml:space="preserve">投标人报价时须承诺所供货物免费质保期</w:t>
      </w:r>
      <w:r>
        <w:rPr>
          <w:rFonts w:hint="eastAsia" w:ascii="宋体" w:hAnsi="宋体" w:cs="宋体"/>
          <w:b/>
          <w:color w:val="000000"/>
          <w:sz w:val="24"/>
          <w:highlight w:val="none"/>
          <w:lang w:bidi="ar"/>
        </w:rPr>
        <w:t xml:space="preserve">不少于2年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6"/>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合同签订后，采购人支付30%款项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安装调试验收合格，临床科室开具领用单，开具发票入库后壹个月内付，采购人支付中标人至合同款项的90%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余款在验收合格一年后一次性付清(无息)。</w:t>
      </w:r>
      <w:r>
        <w:rPr>
          <w:rFonts w:ascii="宋体" w:hAnsi="宋体"/>
          <w:color w:val="000000"/>
          <w:sz w:val="24"/>
          <w:szCs w:val="24"/>
          <w:highlight w:val="none"/>
        </w:rPr>
      </w:r>
      <w:r/>
    </w:p>
    <w:p>
      <w:pPr>
        <w:pStyle w:val="1072"/>
        <w:spacing w:line="440" w:lineRule="exact"/>
        <w:rPr>
          <w:rFonts w:ascii="宋体" w:hAnsi="宋体"/>
          <w:b/>
          <w:color w:val="000000"/>
          <w:highlight w:val="none"/>
        </w:rPr>
      </w:pPr>
      <w:r>
        <w:rPr>
          <w:rFonts w:ascii="宋体" w:hAnsi="宋体"/>
          <w:b/>
          <w:color w:val="000000"/>
          <w:highlight w:val="none"/>
        </w:rPr>
      </w:r>
      <w:r/>
    </w:p>
    <w:p>
      <w:pPr>
        <w:pStyle w:val="1072"/>
        <w:rPr>
          <w:rFonts w:ascii="宋体" w:hAnsi="宋体"/>
          <w:bCs/>
          <w:color w:val="000000"/>
          <w:highlight w:val="none"/>
        </w:rPr>
      </w:pPr>
      <w:r>
        <w:rPr>
          <w:rFonts w:ascii="宋体" w:hAnsi="宋体"/>
          <w:bCs/>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40" w:name="_Toc99301425"/>
      <w:r>
        <w:rPr>
          <w:rFonts w:ascii="宋体" w:hAnsi="宋体"/>
          <w:b/>
          <w:color w:val="000000"/>
          <w:sz w:val="36"/>
          <w:szCs w:val="36"/>
          <w:highlight w:val="none"/>
        </w:rPr>
        <w:t xml:space="preserve">第六章   拟签订的合同文本</w:t>
      </w:r>
      <w:bookmarkEnd w:id="840"/>
      <w:r>
        <w:rPr>
          <w:rFonts w:ascii="宋体" w:hAnsi="宋体"/>
          <w:b/>
          <w:color w:val="000000"/>
          <w:sz w:val="36"/>
          <w:szCs w:val="36"/>
          <w:highlight w:val="none"/>
        </w:rPr>
      </w:r>
      <w:r/>
    </w:p>
    <w:p>
      <w:pPr>
        <w:pStyle w:val="1103"/>
        <w:jc w:val="center"/>
        <w:tabs>
          <w:tab w:val="left" w:pos="567" w:leader="none"/>
        </w:tabs>
        <w:rPr>
          <w:rFonts w:hint="eastAsia" w:cs="宋体"/>
          <w:b/>
          <w:bCs/>
          <w:color w:val="000000"/>
          <w:spacing w:val="-20"/>
          <w:sz w:val="48"/>
          <w:szCs w:val="48"/>
          <w:highlight w:val="none"/>
        </w:rPr>
      </w:pPr>
      <w:r/>
      <w:bookmarkStart w:id="841" w:name="_Toc3995"/>
      <w:r>
        <w:rPr>
          <w:rFonts w:hint="eastAsia" w:cs="宋体"/>
          <w:b/>
          <w:bCs/>
          <w:color w:val="000000"/>
          <w:spacing w:val="-20"/>
          <w:sz w:val="48"/>
          <w:szCs w:val="48"/>
          <w:highlight w:val="none"/>
        </w:rPr>
      </w:r>
      <w:r/>
    </w:p>
    <w:p>
      <w:pPr>
        <w:pStyle w:val="1111"/>
        <w:spacing w:line="360" w:lineRule="auto"/>
        <w:rPr>
          <w:rFonts w:hAnsi="宋体" w:cs="宋体"/>
          <w:color w:val="000000"/>
          <w:sz w:val="24"/>
          <w:szCs w:val="24"/>
          <w:highlight w:val="none"/>
        </w:rPr>
      </w:pPr>
      <w:r/>
      <w:bookmarkEnd w:id="841"/>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6"/>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2"/>
              <w:jc w:val="center"/>
              <w:spacing w:line="360" w:lineRule="exact"/>
              <w:rPr>
                <w:rFonts w:ascii="宋体" w:hAnsi="宋体"/>
                <w:b/>
                <w:color w:val="000000"/>
                <w:sz w:val="24"/>
                <w:highlight w:val="none"/>
              </w:rPr>
            </w:pPr>
            <w:r/>
            <w:bookmarkStart w:id="842" w:name="OLE_LINK10"/>
            <w:r/>
            <w:bookmarkStart w:id="843" w:name="OLE_LINK5"/>
            <w:r>
              <w:rPr>
                <w:rFonts w:ascii="宋体" w:hAnsi="宋体" w:cs="宋体"/>
                <w:color w:val="000000"/>
                <w:sz w:val="24"/>
                <w:highlight w:val="none"/>
                <w:lang w:bidi="ar"/>
              </w:rPr>
              <w:t xml:space="preserve">胃肠镜系统</w:t>
            </w:r>
            <w:bookmarkEnd w:id="842"/>
            <w:r/>
            <w:bookmarkEnd w:id="843"/>
            <w:r>
              <w:rPr>
                <w:rFonts w:ascii="宋体" w:hAnsi="宋体"/>
                <w:b/>
                <w:color w:val="000000"/>
                <w:sz w:val="24"/>
                <w:highlight w:val="none"/>
              </w:rPr>
            </w:r>
            <w:r/>
          </w:p>
        </w:tc>
        <w:tc>
          <w:tcPr>
            <w:tcW w:w="595"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2"/>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2"/>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color w:val="000000"/>
          <w:sz w:val="24"/>
          <w:highlight w:val="none"/>
          <w:lang w:bidi="ar"/>
        </w:rPr>
        <w:t xml:space="preserve">本次报价还包括乙方办理与本货物相关的进口、运输、免税等手续所产生的费用。</w:t>
      </w:r>
      <w:r>
        <w:rPr>
          <w:rFonts w:ascii="宋体" w:hAnsi="宋体" w:cs="宋体"/>
          <w:color w:val="000000"/>
          <w:sz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1"/>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6"/>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olor w:val="000000"/>
          <w:sz w:val="24"/>
          <w:szCs w:val="24"/>
          <w:highlight w:val="none"/>
        </w:rPr>
        <w:t xml:space="preserve">合同签订后，采购人支付30%款项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安装调试验收合格，临床科室开具领用单，开具发票入库后壹个月内付，采购人支付中标人至合同款项的90%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余款在验收合格一年后一次性付清(无息)。</w:t>
      </w:r>
      <w:r>
        <w:rPr>
          <w:rFonts w:hint="eastAsia" w:ascii="宋体" w:hAnsi="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2"/>
        <w:ind w:firstLine="480"/>
        <w:spacing w:line="360" w:lineRule="auto"/>
        <w:rPr>
          <w:rFonts w:ascii="宋体" w:hAnsi="宋体"/>
          <w:color w:val="000000"/>
          <w:sz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ascii="宋体" w:hAnsi="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44" w:name="_Toc99301426"/>
      <w:r>
        <w:rPr>
          <w:rFonts w:ascii="宋体" w:hAnsi="宋体"/>
          <w:b/>
          <w:color w:val="000000"/>
          <w:sz w:val="36"/>
          <w:szCs w:val="36"/>
          <w:highlight w:val="none"/>
        </w:rPr>
        <w:t xml:space="preserve">第七章   投标文件格式</w:t>
      </w:r>
      <w:bookmarkEnd w:id="844"/>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6"/>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45" w:name="_Toc226965746"/>
      <w:r/>
      <w:bookmarkStart w:id="846" w:name="_Toc142311058"/>
      <w:r/>
      <w:bookmarkStart w:id="847" w:name="_Toc226337252"/>
      <w:r/>
      <w:bookmarkStart w:id="848" w:name="_Toc480942349"/>
      <w:r/>
      <w:bookmarkStart w:id="849" w:name="_Toc226309800"/>
      <w:r/>
      <w:bookmarkStart w:id="850" w:name="_Toc520356217"/>
      <w:r/>
      <w:bookmarkStart w:id="851" w:name="_Toc127151556"/>
      <w:r/>
      <w:bookmarkStart w:id="852" w:name="_Toc226965829"/>
      <w:r/>
      <w:bookmarkStart w:id="853" w:name="_Toc195842921"/>
      <w:r/>
      <w:bookmarkStart w:id="854" w:name="_Toc150480794"/>
      <w:r/>
      <w:bookmarkStart w:id="855" w:name="_Ref467988698"/>
      <w:r/>
      <w:bookmarkStart w:id="856" w:name="_Toc150774761"/>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w:t>
      </w:r>
      <w:r>
        <w:rPr>
          <w:rFonts w:ascii="宋体" w:hAnsi="宋体"/>
          <w:color w:val="000000"/>
          <w:sz w:val="24"/>
          <w:szCs w:val="20"/>
          <w:highlight w:val="none"/>
          <w:u w:val="single"/>
        </w:rPr>
        <w:t xml:space="preserve">____</w:t>
      </w:r>
      <w:r>
        <w:rPr>
          <w:rFonts w:ascii="宋体" w:hAnsi="宋体"/>
          <w:color w:val="000000"/>
          <w:sz w:val="24"/>
          <w:szCs w:val="20"/>
          <w:highlight w:val="none"/>
        </w:rPr>
        <w:t xml:space="preserve">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w:t>
      </w:r>
      <w:r>
        <w:rPr>
          <w:rFonts w:ascii="宋体" w:hAnsi="宋体"/>
          <w:color w:val="000000"/>
          <w:sz w:val="24"/>
          <w:szCs w:val="20"/>
          <w:highlight w:val="none"/>
          <w:u w:val="single"/>
        </w:rPr>
        <w:t xml:space="preserve">__</w:t>
      </w:r>
      <w:r>
        <w:rPr>
          <w:rFonts w:hint="eastAsia" w:ascii="宋体" w:hAnsi="宋体"/>
          <w:color w:val="000000"/>
          <w:sz w:val="24"/>
          <w:szCs w:val="20"/>
          <w:highlight w:val="none"/>
          <w:u w:val="single"/>
          <w:lang w:val="en-US" w:eastAsia="zh-CN"/>
        </w:rPr>
        <w:t xml:space="preserve">  </w:t>
      </w:r>
      <w:r>
        <w:rPr>
          <w:rFonts w:ascii="宋体" w:hAnsi="宋体"/>
          <w:color w:val="000000"/>
          <w:sz w:val="24"/>
          <w:szCs w:val="20"/>
          <w:highlight w:val="none"/>
        </w:rPr>
        <w:t xml:space="preserve">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57" w:name="_Hlt520355938"/>
      <w:r/>
      <w:bookmarkEnd w:id="857"/>
      <w:r/>
      <w:bookmarkStart w:id="858" w:name="_Hlt520356243"/>
      <w:r/>
      <w:bookmarkEnd w:id="858"/>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59" w:name="_Hlt520343392"/>
      <w:r/>
      <w:bookmarkEnd w:id="859"/>
      <w:r/>
      <w:bookmarkStart w:id="860" w:name="_Hlt520271212"/>
      <w:r/>
      <w:bookmarkEnd w:id="860"/>
      <w:r/>
      <w:bookmarkStart w:id="861" w:name="_Hlt520273711"/>
      <w:r/>
      <w:bookmarkEnd w:id="861"/>
      <w:r/>
      <w:bookmarkStart w:id="862" w:name="_Hlt520350918"/>
      <w:r/>
      <w:bookmarkEnd w:id="862"/>
      <w:r/>
      <w:bookmarkStart w:id="863" w:name="_Hlt520343000"/>
      <w:r/>
      <w:bookmarkEnd w:id="863"/>
      <w:r/>
      <w:bookmarkStart w:id="864" w:name="_Hlt520274065"/>
      <w:r/>
      <w:bookmarkEnd w:id="864"/>
      <w:r/>
      <w:bookmarkStart w:id="865" w:name="_Hlt520274121"/>
      <w:r/>
      <w:bookmarkEnd w:id="865"/>
      <w:r/>
      <w:bookmarkStart w:id="866" w:name="_Hlt520274393"/>
      <w:r/>
      <w:bookmarkEnd w:id="866"/>
      <w:r/>
      <w:bookmarkStart w:id="867" w:name="_Hlt520274407"/>
      <w:r/>
      <w:bookmarkEnd w:id="867"/>
      <w:r/>
      <w:bookmarkStart w:id="868" w:name="_Hlt520355504"/>
      <w:r/>
      <w:bookmarkEnd w:id="868"/>
      <w:r/>
      <w:bookmarkStart w:id="869" w:name="_Toc195842922"/>
      <w:r/>
      <w:bookmarkStart w:id="870" w:name="_Toc150774762"/>
      <w:r/>
      <w:bookmarkStart w:id="871" w:name="_Toc305158899"/>
      <w:r/>
      <w:bookmarkStart w:id="872" w:name="_Toc226337253"/>
      <w:r/>
      <w:bookmarkStart w:id="873" w:name="_Toc142311059"/>
      <w:r/>
      <w:bookmarkStart w:id="874" w:name="_Toc305158825"/>
      <w:r/>
      <w:bookmarkStart w:id="875" w:name="_Ref467988705"/>
      <w:r/>
      <w:bookmarkStart w:id="876" w:name="_Toc127151557"/>
      <w:r/>
      <w:bookmarkStart w:id="877" w:name="_Toc264969247"/>
      <w:r/>
      <w:bookmarkStart w:id="878" w:name="_Toc520356218"/>
      <w:r/>
      <w:bookmarkStart w:id="879" w:name="_Toc226965747"/>
      <w:r/>
      <w:bookmarkStart w:id="880" w:name="_Toc150480795"/>
      <w:r/>
      <w:bookmarkStart w:id="881" w:name="_Toc226965830"/>
      <w:r/>
      <w:bookmarkStart w:id="882" w:name="_Toc265228395"/>
      <w:r/>
      <w:bookmarkStart w:id="883" w:name="_Toc480942350"/>
      <w:r/>
      <w:bookmarkStart w:id="884" w:name="_Toc226309801"/>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85" w:name="_Toc305158900"/>
      <w:r/>
      <w:bookmarkStart w:id="886" w:name="_Toc226965748"/>
      <w:r/>
      <w:bookmarkStart w:id="887" w:name="_Toc164608672"/>
      <w:r/>
      <w:bookmarkStart w:id="888" w:name="_Toc226965831"/>
      <w:r/>
      <w:bookmarkStart w:id="889" w:name="_Toc226309802"/>
      <w:r/>
      <w:bookmarkStart w:id="890" w:name="_Toc265228396"/>
      <w:r/>
      <w:bookmarkStart w:id="891" w:name="_Toc195842923"/>
      <w:r/>
      <w:bookmarkStart w:id="892" w:name="_Toc226337254"/>
      <w:r/>
      <w:bookmarkStart w:id="893" w:name="_Toc305158826"/>
      <w:r/>
      <w:bookmarkStart w:id="894" w:name="_Toc164608827"/>
      <w:r/>
      <w:bookmarkStart w:id="895" w:name="_Toc264969248"/>
      <w:r>
        <w:rPr>
          <w:rFonts w:hint="eastAsia" w:ascii="宋体" w:hAnsi="宋体"/>
          <w:b/>
          <w:color w:val="000000"/>
          <w:sz w:val="36"/>
          <w:szCs w:val="36"/>
          <w:highlight w:val="none"/>
        </w:rPr>
        <w:t xml:space="preserve">开标一览表</w:t>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96" w:name="_Toc305158901"/>
      <w:r/>
      <w:bookmarkStart w:id="897" w:name="_Toc195842924"/>
      <w:r/>
      <w:bookmarkStart w:id="898" w:name="_Toc142311060"/>
      <w:r/>
      <w:bookmarkStart w:id="899" w:name="_Toc226309803"/>
      <w:r/>
      <w:bookmarkStart w:id="900" w:name="_Toc265228397"/>
      <w:r/>
      <w:bookmarkStart w:id="901" w:name="_Toc226337255"/>
      <w:r/>
      <w:bookmarkStart w:id="902" w:name="_Toc226965832"/>
      <w:r/>
      <w:bookmarkStart w:id="903" w:name="_Toc305158827"/>
      <w:r/>
      <w:bookmarkStart w:id="904" w:name="_Toc226965749"/>
      <w:r/>
      <w:bookmarkStart w:id="905" w:name="_Toc264969249"/>
      <w:r/>
      <w:bookmarkStart w:id="906" w:name="_Toc150774763"/>
      <w:r/>
      <w:bookmarkStart w:id="907" w:name="_Toc127151558"/>
      <w:r/>
      <w:bookmarkStart w:id="908" w:name="_Toc150480796"/>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909" w:name="_Toc226309806"/>
      <w:r/>
      <w:bookmarkStart w:id="910" w:name="_Toc226965752"/>
      <w:r/>
      <w:bookmarkStart w:id="911" w:name="_Toc127151562"/>
      <w:r/>
      <w:bookmarkStart w:id="912" w:name="_Toc226337258"/>
      <w:r/>
      <w:bookmarkStart w:id="913" w:name="_Toc264969252"/>
      <w:r/>
      <w:bookmarkStart w:id="914" w:name="_Toc195842927"/>
      <w:r/>
      <w:bookmarkStart w:id="915" w:name="_Toc305158830"/>
      <w:r/>
      <w:bookmarkStart w:id="916" w:name="_Toc265228400"/>
      <w:r/>
      <w:bookmarkStart w:id="917" w:name="_Toc150774765"/>
      <w:r/>
      <w:bookmarkStart w:id="918" w:name="_Toc142311062"/>
      <w:r/>
      <w:bookmarkStart w:id="919" w:name="_Toc305158904"/>
      <w:r/>
      <w:bookmarkStart w:id="920" w:name="_Toc150480798"/>
      <w:r/>
      <w:bookmarkStart w:id="921" w:name="_Toc226965835"/>
      <w:r/>
      <w:bookmarkStart w:id="922" w:name="_Toc127151561"/>
      <w:r/>
      <w:bookmarkStart w:id="923" w:name="_Toc150774764"/>
      <w:r/>
      <w:bookmarkStart w:id="924" w:name="_Toc226337257"/>
      <w:r/>
      <w:bookmarkStart w:id="925" w:name="_Toc264969251"/>
      <w:r/>
      <w:bookmarkStart w:id="926" w:name="_Toc226309805"/>
      <w:r/>
      <w:bookmarkStart w:id="927" w:name="_Toc305158903"/>
      <w:r/>
      <w:bookmarkStart w:id="928" w:name="_Toc142311061"/>
      <w:r/>
      <w:bookmarkStart w:id="929" w:name="_Toc226965834"/>
      <w:r/>
      <w:bookmarkStart w:id="930" w:name="_Toc265228399"/>
      <w:r/>
      <w:bookmarkStart w:id="931" w:name="_Toc226965751"/>
      <w:r/>
      <w:bookmarkStart w:id="932" w:name="_Toc150480797"/>
      <w:r/>
      <w:bookmarkStart w:id="933" w:name="_Toc305158829"/>
      <w:r/>
      <w:bookmarkStart w:id="934" w:name="_Toc195842926"/>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ind w:right="360"/>
        <w:spacing w:line="360" w:lineRule="auto"/>
        <w:rPr>
          <w:rFonts w:ascii="宋体" w:hAnsi="宋体"/>
          <w:color w:val="000000"/>
          <w:sz w:val="24"/>
          <w:szCs w:val="20"/>
          <w:highlight w:val="none"/>
        </w:rPr>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详见评分标准</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35" w:name="_Toc288738397"/>
      <w:r/>
      <w:bookmarkStart w:id="936" w:name="_Toc288738839"/>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5"/>
      <w:r/>
      <w:bookmarkEnd w:id="936"/>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13</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9">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1224" w:hanging="1224"/>
        <w:tabs>
          <w:tab w:val="num" w:pos="1224" w:leader="none"/>
        </w:tabs>
      </w:pPr>
    </w:lvl>
    <w:lvl w:ilvl="1">
      <w:start w:val="1"/>
      <w:numFmt w:val="decimal"/>
      <w:pStyle w:val="1326"/>
      <w:isLgl w:val="false"/>
      <w:suff w:val="tab"/>
      <w:lvlText w:val="%1.%2"/>
      <w:lvlJc w:val="left"/>
      <w:pPr>
        <w:pStyle w:val="1072"/>
        <w:ind w:left="1224" w:hanging="1224"/>
        <w:tabs>
          <w:tab w:val="num" w:pos="1224" w:leader="none"/>
        </w:tabs>
      </w:pPr>
      <w:rPr>
        <w:rFonts w:hint="eastAsia" w:ascii="宋体" w:hAnsi="宋体" w:eastAsia="宋体" w:cs="宋体"/>
        <w:b w:val="0"/>
        <w:bCs/>
        <w:i w:val="0"/>
        <w:iCs w:val="0"/>
        <w:caps w:val="0"/>
        <w:strike w:val="0"/>
        <w:color w:val="000000"/>
        <w:spacing w:val="0"/>
        <w:position w:val="0"/>
        <w:sz w:val="24"/>
        <w:szCs w:val="24"/>
        <w:u w:val="none"/>
      </w:rPr>
    </w:lvl>
    <w:lvl w:ilvl="2">
      <w:start w:val="1"/>
      <w:numFmt w:val="decimal"/>
      <w:isLgl w:val="false"/>
      <w:suff w:val="tab"/>
      <w:lvlText w:val="%1.%2.%3"/>
      <w:lvlJc w:val="left"/>
      <w:pPr>
        <w:pStyle w:val="1072"/>
        <w:ind w:left="1933" w:hanging="1224"/>
        <w:tabs>
          <w:tab w:val="num" w:pos="1933" w:leader="none"/>
        </w:tabs>
      </w:pPr>
      <w:rPr>
        <w:rFonts w:hint="eastAsia" w:ascii="宋体" w:hAnsi="宋体" w:eastAsia="宋体" w:cs="宋体"/>
        <w:b w:val="0"/>
        <w:sz w:val="24"/>
        <w:szCs w:val="24"/>
      </w:rPr>
    </w:lvl>
    <w:lvl w:ilvl="3">
      <w:start w:val="1"/>
      <w:numFmt w:val="decimal"/>
      <w:isLgl w:val="false"/>
      <w:suff w:val="tab"/>
      <w:lvlText w:val="%1.%2.%3.%4."/>
      <w:lvlJc w:val="left"/>
      <w:pPr>
        <w:pStyle w:val="1072"/>
        <w:ind w:left="1792" w:hanging="1225"/>
        <w:tabs>
          <w:tab w:val="num" w:pos="1792" w:leader="none"/>
        </w:tabs>
      </w:pPr>
      <w:rPr>
        <w:b w:val="0"/>
        <w:i w:val="0"/>
        <w:iCs w:val="0"/>
        <w:caps w:val="0"/>
        <w:strike w:val="0"/>
        <w:vanish w:val="0"/>
        <w:color w:val="000000"/>
        <w:spacing w:val="0"/>
        <w:position w:val="0"/>
        <w:u w:val="none"/>
      </w:rPr>
    </w:lvl>
    <w:lvl w:ilvl="4">
      <w:start w:val="1"/>
      <w:numFmt w:val="decimal"/>
      <w:isLgl w:val="false"/>
      <w:suff w:val="tab"/>
      <w:lvlText w:val="%1.%2.%3.%4.%5"/>
      <w:lvlJc w:val="left"/>
      <w:pPr>
        <w:pStyle w:val="1072"/>
        <w:ind w:left="2100" w:hanging="420"/>
        <w:tabs>
          <w:tab w:val="num" w:pos="2100" w:leader="none"/>
        </w:tabs>
      </w:pPr>
      <w:rPr>
        <w:b w:val="0"/>
        <w:sz w:val="24"/>
        <w:szCs w:val="24"/>
      </w:rPr>
    </w:lvl>
    <w:lvl w:ilvl="5">
      <w:start w:val="1"/>
      <w:numFmt w:val="lowerRoman"/>
      <w:isLgl w:val="false"/>
      <w:suff w:val="tab"/>
      <w:lvlText w:val="%6."/>
      <w:lvlJc w:val="right"/>
      <w:pPr>
        <w:pStyle w:val="1072"/>
        <w:ind w:left="2520" w:hanging="420"/>
        <w:tabs>
          <w:tab w:val="num" w:pos="2520" w:leader="none"/>
        </w:tabs>
      </w:pPr>
    </w:lvl>
    <w:lvl w:ilvl="6">
      <w:start w:val="1"/>
      <w:numFmt w:val="decimal"/>
      <w:isLgl w:val="false"/>
      <w:suff w:val="tab"/>
      <w:lvlText w:val="%7."/>
      <w:lvlJc w:val="left"/>
      <w:pPr>
        <w:pStyle w:val="1072"/>
        <w:ind w:left="2940" w:hanging="420"/>
        <w:tabs>
          <w:tab w:val="num" w:pos="2940" w:leader="none"/>
        </w:tabs>
      </w:pPr>
    </w:lvl>
    <w:lvl w:ilvl="7">
      <w:start w:val="1"/>
      <w:numFmt w:val="lowerLetter"/>
      <w:isLgl w:val="false"/>
      <w:suff w:val="tab"/>
      <w:lvlText w:val="%8)"/>
      <w:lvlJc w:val="left"/>
      <w:pPr>
        <w:pStyle w:val="1072"/>
        <w:ind w:left="3360" w:hanging="420"/>
        <w:tabs>
          <w:tab w:val="num" w:pos="3360" w:leader="none"/>
        </w:tabs>
      </w:pPr>
    </w:lvl>
    <w:lvl w:ilvl="8">
      <w:start w:val="1"/>
      <w:numFmt w:val="lowerRoman"/>
      <w:isLgl w:val="false"/>
      <w:suff w:val="tab"/>
      <w:lvlText w:val="%9."/>
      <w:lvlJc w:val="right"/>
      <w:pPr>
        <w:pStyle w:val="1072"/>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12"/>
  </w:num>
  <w:num w:numId="9">
    <w:abstractNumId w:val="6"/>
  </w:num>
  <w:num w:numId="10">
    <w:abstractNumId w:val="10"/>
  </w:num>
  <w:num w:numId="11">
    <w:abstractNumId w:val="0"/>
  </w:num>
  <w:num w:numId="12">
    <w:abstractNumId w:val="11"/>
  </w:num>
  <w:num w:numId="13">
    <w:abstractNumId w:val="9"/>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086"/>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paragraph" w:styleId="1326">
    <w:name w:val="标2"/>
    <w:basedOn w:val="1072"/>
    <w:next w:val="1326"/>
    <w:link w:val="1072"/>
    <w:qFormat/>
    <w:pPr>
      <w:numPr>
        <w:ilvl w:val="1"/>
        <w:numId w:val="8"/>
      </w:numPr>
      <w:ind w:left="1224" w:right="0" w:hanging="1224"/>
      <w:jc w:val="both"/>
      <w:keepLines w:val="0"/>
      <w:keepNext w:val="0"/>
      <w:spacing w:before="0" w:beforeAutospacing="0" w:after="0" w:afterAutospacing="0" w:line="240" w:lineRule="atLeast"/>
      <w:widowControl w:val="off"/>
      <w:tabs>
        <w:tab w:val="left" w:pos="1224" w:leader="none"/>
      </w:tabs>
      <w:outlineLvl w:val="1"/>
      <w:suppressLineNumbers w:val="0"/>
    </w:pPr>
    <w:rPr>
      <w:rFonts w:hint="eastAsia" w:ascii="宋体" w:hAnsi="宋体" w:eastAsia="宋体" w:cs="Times New Roman"/>
      <w:b/>
      <w:sz w:val="24"/>
      <w:szCs w:val="24"/>
      <w:lang w:val="en-US" w:eastAsia="zh-CN" w:bidi="ar"/>
    </w:rPr>
  </w:style>
  <w:style w:type="paragraph" w:styleId="1327">
    <w:name w:val="标3"/>
    <w:basedOn w:val="1072"/>
    <w:next w:val="1327"/>
    <w:link w:val="1072"/>
    <w:qFormat/>
    <w:pPr>
      <w:ind w:left="1933" w:right="0" w:hanging="1224"/>
      <w:jc w:val="both"/>
      <w:keepLines w:val="0"/>
      <w:keepNext w:val="0"/>
      <w:spacing w:before="156" w:beforeAutospacing="0" w:after="0" w:afterAutospacing="0" w:line="240" w:lineRule="atLeast"/>
      <w:widowControl w:val="off"/>
      <w:tabs>
        <w:tab w:val="left" w:pos="1933" w:leader="none"/>
      </w:tabs>
      <w:outlineLvl w:val="2"/>
      <w:suppressLineNumbers w:val="0"/>
    </w:pPr>
    <w:rPr>
      <w:rFonts w:ascii="Arial Narrow" w:hAnsi="Arial Narrow" w:eastAsia="仿宋_GB2312" w:cs="宋体"/>
      <w:sz w:val="24"/>
      <w:szCs w:val="24"/>
      <w:lang w:val="en-US" w:eastAsia="zh-CN" w:bidi="ar"/>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7</cp:revision>
  <dcterms:created xsi:type="dcterms:W3CDTF">2022-05-30T08:08:00Z</dcterms:created>
  <dcterms:modified xsi:type="dcterms:W3CDTF">2025-11-19T08:06:15Z</dcterms:modified>
</cp:coreProperties>
</file>